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pBdr/>
        <w:shd w:val="clear" w:fill="C0C0C0"/>
        <w:tabs>
          <w:tab w:val="clear" w:pos="720"/>
          <w:tab w:val="left" w:pos="0" w:leader="none"/>
        </w:tabs>
        <w:ind w:left="-284" w:right="-426" w:hanging="0"/>
        <w:jc w:val="center"/>
        <w:rPr>
          <w:color w:val="auto"/>
          <w:shd w:fill="auto" w:val="clear"/>
        </w:rPr>
      </w:pPr>
      <w:r>
        <w:rPr>
          <w:rFonts w:eastAsia="Verdana" w:cs="Verdana" w:ascii="Verdana" w:hAnsi="Verdana"/>
          <w:b/>
          <w:color w:val="000000"/>
          <w:shd w:fill="auto" w:val="clear"/>
        </w:rPr>
        <w:t>CAPA DO EDITAL (LEI 14.133/2021)</w:t>
      </w:r>
    </w:p>
    <w:tbl>
      <w:tblPr>
        <w:tblStyle w:val="Table1"/>
        <w:tblW w:w="10110" w:type="dxa"/>
        <w:jc w:val="left"/>
        <w:tblInd w:w="-299" w:type="dxa"/>
        <w:tblLayout w:type="fixed"/>
        <w:tblCellMar>
          <w:top w:w="113" w:type="dxa"/>
          <w:left w:w="108" w:type="dxa"/>
          <w:bottom w:w="113" w:type="dxa"/>
          <w:right w:w="108" w:type="dxa"/>
        </w:tblCellMar>
        <w:tblLook w:val="0400"/>
      </w:tblPr>
      <w:tblGrid>
        <w:gridCol w:w="3464"/>
        <w:gridCol w:w="136"/>
        <w:gridCol w:w="2632"/>
        <w:gridCol w:w="3878"/>
      </w:tblGrid>
      <w:tr>
        <w:trPr>
          <w:trHeight w:val="426" w:hRule="atLeast"/>
        </w:trPr>
        <w:tc>
          <w:tcPr>
            <w:tcW w:w="10110" w:type="dxa"/>
            <w:gridSpan w:val="4"/>
            <w:tcBorders>
              <w:top w:val="single" w:sz="4" w:space="0" w:color="000000"/>
              <w:left w:val="single" w:sz="4" w:space="0" w:color="000000"/>
              <w:bottom w:val="single" w:sz="4" w:space="0" w:color="000000"/>
              <w:right w:val="single" w:sz="4" w:space="0" w:color="000000"/>
            </w:tcBorders>
            <w:shd w:fill="BFBFBF" w:val="clear"/>
          </w:tcPr>
          <w:p>
            <w:pPr>
              <w:pStyle w:val="Normal1"/>
              <w:widowControl w:val="false"/>
              <w:jc w:val="center"/>
              <w:rPr>
                <w:rFonts w:ascii="Verdana" w:hAnsi="Verdana" w:eastAsia="Verdana" w:cs="Verdana"/>
                <w:b/>
                <w:b/>
                <w:color w:val="auto"/>
                <w:shd w:fill="auto" w:val="clear"/>
              </w:rPr>
            </w:pPr>
            <w:r>
              <w:rPr>
                <w:rFonts w:eastAsia="Verdana" w:cs="Verdana" w:ascii="Verdana" w:hAnsi="Verdana"/>
                <w:b/>
                <w:color w:val="000000"/>
                <w:shd w:fill="auto" w:val="clear"/>
              </w:rPr>
              <w:t>CONTRATANTE: PODER JUDICIÁRIO DO ESTADO DO ESPÍRITO SANTO</w:t>
            </w:r>
          </w:p>
        </w:tc>
      </w:tr>
      <w:tr>
        <w:trPr>
          <w:trHeight w:val="500" w:hRule="atLeast"/>
        </w:trPr>
        <w:tc>
          <w:tcPr>
            <w:tcW w:w="3464" w:type="dxa"/>
            <w:tcBorders>
              <w:top w:val="single" w:sz="4" w:space="0" w:color="000000"/>
              <w:left w:val="single" w:sz="4" w:space="0" w:color="000000"/>
              <w:bottom w:val="single" w:sz="4" w:space="0" w:color="000000"/>
            </w:tcBorders>
            <w:shd w:fill="F2F2F2" w:val="clear"/>
            <w:tcMar>
              <w:top w:w="57" w:type="dxa"/>
              <w:bottom w:w="57" w:type="dxa"/>
            </w:tcMar>
            <w:vAlign w:val="center"/>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Pregão Eletrônico nº PE</w:t>
            </w:r>
            <w:r>
              <w:rPr>
                <w:rFonts w:eastAsia="Verdana" w:cs="Verdana" w:ascii="Verdana" w:hAnsi="Verdana"/>
                <w:b/>
                <w:color w:val="000000"/>
                <w:sz w:val="16"/>
                <w:szCs w:val="16"/>
                <w:shd w:fill="auto" w:val="clear"/>
              </w:rPr>
              <w:t>90059</w:t>
            </w:r>
            <w:r>
              <w:rPr>
                <w:rFonts w:eastAsia="Verdana" w:cs="Verdana" w:ascii="Verdana" w:hAnsi="Verdana"/>
                <w:b/>
                <w:color w:val="000000"/>
                <w:sz w:val="16"/>
                <w:szCs w:val="16"/>
                <w:shd w:fill="auto" w:val="clear"/>
              </w:rPr>
              <w:t>/2024</w:t>
            </w:r>
          </w:p>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SEI Nº 7000247-48.2024.8.08.0024</w:t>
            </w:r>
          </w:p>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r>
          </w:p>
        </w:tc>
        <w:tc>
          <w:tcPr>
            <w:tcW w:w="2768" w:type="dxa"/>
            <w:gridSpan w:val="2"/>
            <w:tcBorders>
              <w:top w:val="single" w:sz="4" w:space="0" w:color="000000"/>
              <w:left w:val="single" w:sz="4" w:space="0" w:color="000000"/>
              <w:bottom w:val="single" w:sz="4" w:space="0" w:color="000000"/>
              <w:right w:val="single" w:sz="4" w:space="0" w:color="000000"/>
            </w:tcBorders>
            <w:shd w:fill="F2F2F2" w:val="clear"/>
            <w:tcMar>
              <w:top w:w="57" w:type="dxa"/>
              <w:bottom w:w="57" w:type="dxa"/>
            </w:tcMar>
            <w:vAlign w:val="center"/>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CIC TCEES Nº 2024.500J1200001.02.0041</w:t>
            </w:r>
          </w:p>
        </w:tc>
        <w:tc>
          <w:tcPr>
            <w:tcW w:w="3878" w:type="dxa"/>
            <w:tcBorders>
              <w:top w:val="single" w:sz="4" w:space="0" w:color="000000"/>
              <w:left w:val="single" w:sz="4" w:space="0" w:color="000000"/>
              <w:bottom w:val="single" w:sz="4" w:space="0" w:color="000000"/>
              <w:right w:val="single" w:sz="4" w:space="0" w:color="000000"/>
            </w:tcBorders>
            <w:shd w:fill="F2F2F2" w:val="clear"/>
            <w:tcMar>
              <w:top w:w="57" w:type="dxa"/>
              <w:bottom w:w="57" w:type="dxa"/>
            </w:tcMar>
          </w:tcPr>
          <w:p>
            <w:pPr>
              <w:pStyle w:val="Normal1"/>
              <w:widowControl w:val="false"/>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 xml:space="preserve">Data de Abertura: </w:t>
            </w:r>
            <w:r>
              <w:rPr>
                <w:rFonts w:eastAsia="Verdana" w:cs="Verdana" w:ascii="Verdana" w:hAnsi="Verdana"/>
                <w:b/>
                <w:color w:val="000000"/>
                <w:sz w:val="16"/>
                <w:szCs w:val="16"/>
                <w:shd w:fill="auto" w:val="clear"/>
              </w:rPr>
              <w:t>26</w:t>
            </w:r>
            <w:r>
              <w:rPr>
                <w:rFonts w:eastAsia="Verdana" w:cs="Verdana" w:ascii="Verdana" w:hAnsi="Verdana"/>
                <w:b/>
                <w:color w:val="000000"/>
                <w:sz w:val="16"/>
                <w:szCs w:val="16"/>
                <w:shd w:fill="auto" w:val="clear"/>
              </w:rPr>
              <w:t>/</w:t>
            </w:r>
            <w:r>
              <w:rPr>
                <w:rFonts w:eastAsia="Verdana" w:cs="Verdana" w:ascii="Verdana" w:hAnsi="Verdana"/>
                <w:b/>
                <w:color w:val="000000"/>
                <w:sz w:val="16"/>
                <w:szCs w:val="16"/>
                <w:shd w:fill="auto" w:val="clear"/>
              </w:rPr>
              <w:t>09</w:t>
            </w:r>
            <w:r>
              <w:rPr>
                <w:rFonts w:eastAsia="Verdana" w:cs="Verdana" w:ascii="Verdana" w:hAnsi="Verdana"/>
                <w:b/>
                <w:color w:val="000000"/>
                <w:sz w:val="16"/>
                <w:szCs w:val="16"/>
                <w:shd w:fill="auto" w:val="clear"/>
              </w:rPr>
              <w:t xml:space="preserve">/2024, às </w:t>
            </w:r>
            <w:r>
              <w:rPr>
                <w:rFonts w:eastAsia="Verdana" w:cs="Verdana" w:ascii="Verdana" w:hAnsi="Verdana"/>
                <w:b/>
                <w:color w:val="000000"/>
                <w:sz w:val="16"/>
                <w:szCs w:val="16"/>
                <w:shd w:fill="auto" w:val="clear"/>
              </w:rPr>
              <w:t>14</w:t>
            </w:r>
            <w:r>
              <w:rPr>
                <w:rFonts w:eastAsia="Verdana" w:cs="Verdana" w:ascii="Verdana" w:hAnsi="Verdana"/>
                <w:b/>
                <w:color w:val="000000"/>
                <w:sz w:val="16"/>
                <w:szCs w:val="16"/>
                <w:shd w:fill="auto" w:val="clear"/>
              </w:rPr>
              <w:t xml:space="preserve">:00h  no sítio </w:t>
            </w:r>
            <w:r>
              <w:rPr>
                <w:rFonts w:eastAsia="Verdana" w:cs="Verdana" w:ascii="Verdana" w:hAnsi="Verdana"/>
                <w:b/>
                <w:color w:val="000000"/>
                <w:sz w:val="16"/>
                <w:szCs w:val="16"/>
                <w:shd w:fill="auto" w:val="clear"/>
              </w:rPr>
              <w:t>www.gov.br/compras/pt-br/</w:t>
            </w:r>
          </w:p>
        </w:tc>
      </w:tr>
      <w:tr>
        <w:trPr>
          <w:trHeight w:val="236" w:hRule="atLeast"/>
        </w:trPr>
        <w:tc>
          <w:tcPr>
            <w:tcW w:w="6232" w:type="dxa"/>
            <w:gridSpan w:val="3"/>
            <w:tcBorders>
              <w:top w:val="single" w:sz="4" w:space="0" w:color="000000"/>
              <w:left w:val="single" w:sz="4" w:space="0" w:color="000000"/>
              <w:right w:val="single" w:sz="4" w:space="0" w:color="000000"/>
            </w:tcBorders>
            <w:shd w:fill="D9D9D9" w:val="clear"/>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Pedidos de Esclarecimentos e Impugnações</w:t>
            </w:r>
          </w:p>
        </w:tc>
        <w:tc>
          <w:tcPr>
            <w:tcW w:w="3878" w:type="dxa"/>
            <w:tcBorders>
              <w:top w:val="single" w:sz="4" w:space="0" w:color="000000"/>
              <w:left w:val="single" w:sz="4" w:space="0" w:color="000000"/>
              <w:right w:val="single" w:sz="4" w:space="0" w:color="000000"/>
            </w:tcBorders>
            <w:shd w:fill="D9D9D9" w:val="clear"/>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Contatos:</w:t>
            </w:r>
          </w:p>
        </w:tc>
      </w:tr>
      <w:tr>
        <w:trPr>
          <w:trHeight w:val="236" w:hRule="atLeast"/>
        </w:trPr>
        <w:tc>
          <w:tcPr>
            <w:tcW w:w="6232" w:type="dxa"/>
            <w:gridSpan w:val="3"/>
            <w:tcBorders>
              <w:left w:val="single" w:sz="4" w:space="0" w:color="000000"/>
              <w:bottom w:val="single" w:sz="4" w:space="0" w:color="000000"/>
              <w:right w:val="single" w:sz="4" w:space="0" w:color="000000"/>
            </w:tcBorders>
            <w:shd w:fill="FFFFFF" w:val="clear"/>
            <w:tcMar>
              <w:top w:w="28" w:type="dxa"/>
              <w:bottom w:w="28" w:type="dxa"/>
            </w:tcMar>
          </w:tcPr>
          <w:p>
            <w:pPr>
              <w:pStyle w:val="Normal1"/>
              <w:widowControl w:val="false"/>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Esclarecimentos e Impugnações:</w:t>
            </w:r>
            <w:r>
              <w:rPr>
                <w:rFonts w:eastAsia="Verdana" w:cs="Verdana" w:ascii="Verdana" w:hAnsi="Verdana"/>
                <w:color w:val="000000"/>
                <w:sz w:val="18"/>
                <w:szCs w:val="18"/>
                <w:shd w:fill="auto" w:val="clear"/>
              </w:rPr>
              <w:t xml:space="preserve"> Até dia </w:t>
            </w:r>
            <w:r>
              <w:rPr>
                <w:rFonts w:eastAsia="Verdana" w:cs="Verdana" w:ascii="Verdana" w:hAnsi="Verdana"/>
                <w:color w:val="000000"/>
                <w:sz w:val="18"/>
                <w:szCs w:val="18"/>
                <w:shd w:fill="auto" w:val="clear"/>
              </w:rPr>
              <w:t>23</w:t>
            </w:r>
            <w:r>
              <w:rPr>
                <w:rFonts w:eastAsia="Verdana" w:cs="Verdana" w:ascii="Verdana" w:hAnsi="Verdana"/>
                <w:color w:val="000000"/>
                <w:sz w:val="18"/>
                <w:szCs w:val="18"/>
                <w:shd w:fill="auto" w:val="clear"/>
              </w:rPr>
              <w:t>/</w:t>
            </w:r>
            <w:r>
              <w:rPr>
                <w:rFonts w:eastAsia="Verdana" w:cs="Verdana" w:ascii="Verdana" w:hAnsi="Verdana"/>
                <w:color w:val="000000"/>
                <w:sz w:val="18"/>
                <w:szCs w:val="18"/>
                <w:shd w:fill="auto" w:val="clear"/>
              </w:rPr>
              <w:t>09</w:t>
            </w:r>
          </w:p>
          <w:p>
            <w:pPr>
              <w:pStyle w:val="Normal1"/>
              <w:widowControl w:val="false"/>
              <w:rPr/>
            </w:pPr>
            <w:r>
              <w:rPr>
                <w:rFonts w:eastAsia="Verdana" w:cs="Verdana" w:ascii="Verdana" w:hAnsi="Verdana"/>
                <w:color w:val="000000"/>
                <w:sz w:val="18"/>
                <w:szCs w:val="18"/>
                <w:shd w:fill="auto" w:val="clear"/>
              </w:rPr>
              <w:t xml:space="preserve">Os pedidos devem ser feitos pelo e-mail </w:t>
            </w:r>
            <w:hyperlink r:id="rId2">
              <w:r>
                <w:rPr>
                  <w:rFonts w:eastAsia="Verdana" w:cs="Verdana" w:ascii="Verdana" w:hAnsi="Verdana"/>
                  <w:color w:val="000000"/>
                  <w:sz w:val="18"/>
                  <w:szCs w:val="18"/>
                  <w:u w:val="single"/>
                  <w:shd w:fill="auto" w:val="clear"/>
                </w:rPr>
                <w:t>contratacao@tjes.jus.br</w:t>
              </w:r>
            </w:hyperlink>
          </w:p>
        </w:tc>
        <w:tc>
          <w:tcPr>
            <w:tcW w:w="3878" w:type="dxa"/>
            <w:tcBorders>
              <w:left w:val="single" w:sz="4" w:space="0" w:color="000000"/>
              <w:bottom w:val="single" w:sz="4" w:space="0" w:color="000000"/>
              <w:right w:val="single" w:sz="4" w:space="0" w:color="000000"/>
            </w:tcBorders>
            <w:shd w:fill="FFFFFF" w:val="clear"/>
            <w:tcMar>
              <w:top w:w="28" w:type="dxa"/>
              <w:bottom w:w="28" w:type="dxa"/>
            </w:tcMar>
          </w:tcPr>
          <w:p>
            <w:pPr>
              <w:pStyle w:val="Normal1"/>
              <w:widowControl w:val="false"/>
              <w:rPr/>
            </w:pPr>
            <w:r>
              <w:rPr>
                <w:rFonts w:eastAsia="Verdana" w:cs="Verdana" w:ascii="Verdana" w:hAnsi="Verdana"/>
                <w:color w:val="000000"/>
                <w:sz w:val="18"/>
                <w:szCs w:val="18"/>
                <w:shd w:fill="auto" w:val="clear"/>
              </w:rPr>
              <w:t xml:space="preserve">(27) 3134-4759 / 3134-4760 </w:t>
            </w:r>
            <w:hyperlink r:id="rId3">
              <w:r>
                <w:rPr>
                  <w:rFonts w:eastAsia="Verdana" w:cs="Verdana" w:ascii="Verdana" w:hAnsi="Verdana"/>
                  <w:color w:val="000000"/>
                  <w:sz w:val="18"/>
                  <w:szCs w:val="18"/>
                  <w:u w:val="single"/>
                  <w:shd w:fill="auto" w:val="clear"/>
                </w:rPr>
                <w:t>contratacao@tjes.jus.br</w:t>
              </w:r>
            </w:hyperlink>
          </w:p>
        </w:tc>
      </w:tr>
      <w:tr>
        <w:trPr>
          <w:trHeight w:val="604" w:hRule="atLeast"/>
        </w:trPr>
        <w:tc>
          <w:tcPr>
            <w:tcW w:w="10110" w:type="dxa"/>
            <w:gridSpan w:val="4"/>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 xml:space="preserve">Os Esclarecimentos /Impugnação e respostas/decisão serão disponibilizados no sítio do Portal Transparência do PJES </w:t>
            </w:r>
            <w:r>
              <w:rPr>
                <w:rFonts w:eastAsia="Verdana" w:cs="Verdana" w:ascii="Verdana" w:hAnsi="Verdana"/>
                <w:color w:val="000000"/>
                <w:sz w:val="18"/>
                <w:szCs w:val="18"/>
                <w:u w:val="single"/>
                <w:shd w:fill="auto" w:val="clear"/>
              </w:rPr>
              <w:t>(www.tjes.jus.br &gt; Portal da Transparência &gt; Licitações e Contratos &gt; Licitações)</w:t>
            </w:r>
          </w:p>
        </w:tc>
      </w:tr>
      <w:tr>
        <w:trPr>
          <w:trHeight w:val="236" w:hRule="atLeast"/>
        </w:trPr>
        <w:tc>
          <w:tcPr>
            <w:tcW w:w="10110" w:type="dxa"/>
            <w:gridSpan w:val="4"/>
            <w:tcBorders>
              <w:top w:val="single" w:sz="4" w:space="0" w:color="000000"/>
              <w:left w:val="single" w:sz="4" w:space="0" w:color="000000"/>
              <w:right w:val="single" w:sz="4" w:space="0" w:color="000000"/>
            </w:tcBorders>
            <w:shd w:fill="D9D9D9" w:val="clear"/>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Objeto</w:t>
            </w:r>
          </w:p>
        </w:tc>
      </w:tr>
      <w:tr>
        <w:trPr>
          <w:trHeight w:val="236" w:hRule="atLeast"/>
        </w:trPr>
        <w:tc>
          <w:tcPr>
            <w:tcW w:w="10110" w:type="dxa"/>
            <w:gridSpan w:val="4"/>
            <w:tcBorders>
              <w:left w:val="single" w:sz="4" w:space="0" w:color="000000"/>
              <w:bottom w:val="single" w:sz="4" w:space="0" w:color="000000"/>
              <w:right w:val="single" w:sz="4" w:space="0" w:color="000000"/>
            </w:tcBorders>
            <w:tcMar>
              <w:top w:w="28" w:type="dxa"/>
              <w:bottom w:w="28" w:type="dxa"/>
            </w:tcMar>
          </w:tcPr>
          <w:p>
            <w:pPr>
              <w:pStyle w:val="Normal1"/>
              <w:widowControl w:val="false"/>
              <w:spacing w:lineRule="auto" w:line="240" w:before="28" w:after="0"/>
              <w:ind w:left="107" w:right="145" w:hanging="0"/>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REGISTRO DE PREÇOS para eventual aquisição de cadeira infantil para carro para o Tribunal de Justiça do Espírito Santo  - TJES</w:t>
            </w:r>
            <w:r>
              <w:rPr>
                <w:rFonts w:eastAsia="Verdana" w:cs="Verdana" w:ascii="Verdana" w:hAnsi="Verdana"/>
                <w:color w:val="000000"/>
                <w:sz w:val="18"/>
                <w:szCs w:val="18"/>
                <w:shd w:fill="auto" w:val="clear"/>
              </w:rPr>
              <w:t>.</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tc>
      </w:tr>
      <w:tr>
        <w:trPr>
          <w:trHeight w:val="236" w:hRule="atLeast"/>
        </w:trPr>
        <w:tc>
          <w:tcPr>
            <w:tcW w:w="3600" w:type="dxa"/>
            <w:gridSpan w:val="2"/>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Registro de Preços</w:t>
            </w:r>
          </w:p>
        </w:tc>
        <w:tc>
          <w:tcPr>
            <w:tcW w:w="6510" w:type="dxa"/>
            <w:gridSpan w:val="2"/>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Participação Exclusiva de ME e EPP</w:t>
            </w:r>
          </w:p>
        </w:tc>
      </w:tr>
      <w:tr>
        <w:trPr>
          <w:trHeight w:val="236" w:hRule="atLeast"/>
        </w:trPr>
        <w:tc>
          <w:tcPr>
            <w:tcW w:w="3600" w:type="dxa"/>
            <w:gridSpan w:val="2"/>
            <w:tcBorders>
              <w:left w:val="single" w:sz="4" w:space="0" w:color="000000"/>
              <w:bottom w:val="single" w:sz="4" w:space="0" w:color="000000"/>
              <w:right w:val="single" w:sz="4" w:space="0" w:color="000000"/>
            </w:tcBorders>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SIM</w:t>
            </w:r>
          </w:p>
        </w:tc>
        <w:tc>
          <w:tcPr>
            <w:tcW w:w="6510" w:type="dxa"/>
            <w:gridSpan w:val="2"/>
            <w:tcBorders>
              <w:left w:val="single" w:sz="4" w:space="0" w:color="000000"/>
              <w:bottom w:val="single" w:sz="4" w:space="0" w:color="000000"/>
              <w:right w:val="single" w:sz="4" w:space="0" w:color="000000"/>
            </w:tcBorders>
            <w:tcMar>
              <w:top w:w="28" w:type="dxa"/>
              <w:bottom w:w="28" w:type="dxa"/>
            </w:tcMa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SIM</w:t>
            </w:r>
          </w:p>
        </w:tc>
      </w:tr>
      <w:tr>
        <w:trPr>
          <w:trHeight w:val="236" w:hRule="atLeast"/>
        </w:trPr>
        <w:tc>
          <w:tcPr>
            <w:tcW w:w="3600" w:type="dxa"/>
            <w:gridSpan w:val="2"/>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Critério de Julgamento</w:t>
            </w:r>
          </w:p>
        </w:tc>
        <w:tc>
          <w:tcPr>
            <w:tcW w:w="2632" w:type="dxa"/>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Forma de Adjudicação</w:t>
            </w:r>
          </w:p>
        </w:tc>
        <w:tc>
          <w:tcPr>
            <w:tcW w:w="3878" w:type="dxa"/>
            <w:tcBorders>
              <w:top w:val="single" w:sz="4" w:space="0" w:color="000000"/>
              <w:left w:val="single" w:sz="4" w:space="0" w:color="000000"/>
              <w:right w:val="single" w:sz="4" w:space="0" w:color="000000"/>
            </w:tcBorders>
            <w:shd w:fill="D9D9D9" w:val="clear"/>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Modo de Disputa</w:t>
            </w:r>
          </w:p>
        </w:tc>
      </w:tr>
      <w:tr>
        <w:trPr>
          <w:trHeight w:val="236" w:hRule="atLeast"/>
        </w:trPr>
        <w:tc>
          <w:tcPr>
            <w:tcW w:w="3600" w:type="dxa"/>
            <w:gridSpan w:val="2"/>
            <w:tcBorders>
              <w:left w:val="single" w:sz="4" w:space="0" w:color="000000"/>
              <w:bottom w:val="single" w:sz="4" w:space="0" w:color="000000"/>
              <w:right w:val="single" w:sz="4" w:space="0" w:color="000000"/>
            </w:tcBorders>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Menor valor unitário do Item</w:t>
            </w:r>
          </w:p>
        </w:tc>
        <w:tc>
          <w:tcPr>
            <w:tcW w:w="2632" w:type="dxa"/>
            <w:tcBorders>
              <w:left w:val="single" w:sz="4" w:space="0" w:color="000000"/>
              <w:bottom w:val="single" w:sz="4" w:space="0" w:color="000000"/>
              <w:right w:val="single" w:sz="4" w:space="0" w:color="000000"/>
            </w:tcBorders>
            <w:tcMar>
              <w:top w:w="28" w:type="dxa"/>
              <w:bottom w:w="28" w:type="dxa"/>
            </w:tcMar>
            <w:vAlign w:val="center"/>
          </w:tcPr>
          <w:p>
            <w:pPr>
              <w:pStyle w:val="Normal1"/>
              <w:widowControl w:val="false"/>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ITEM</w:t>
            </w:r>
          </w:p>
        </w:tc>
        <w:tc>
          <w:tcPr>
            <w:tcW w:w="3878" w:type="dxa"/>
            <w:tcBorders>
              <w:left w:val="single" w:sz="4" w:space="0" w:color="000000"/>
              <w:bottom w:val="single" w:sz="4" w:space="0" w:color="000000"/>
              <w:right w:val="single" w:sz="4" w:space="0" w:color="000000"/>
            </w:tcBorders>
            <w:tcMar>
              <w:top w:w="28" w:type="dxa"/>
              <w:bottom w:w="28" w:type="dxa"/>
            </w:tcMar>
            <w:vAlign w:val="center"/>
          </w:tcPr>
          <w:p>
            <w:pPr>
              <w:pStyle w:val="Normal1"/>
              <w:widowControl w:val="false"/>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t>Aberto e Fechado</w:t>
            </w:r>
          </w:p>
        </w:tc>
      </w:tr>
      <w:tr>
        <w:trPr>
          <w:trHeight w:val="236" w:hRule="atLeast"/>
        </w:trPr>
        <w:tc>
          <w:tcPr>
            <w:tcW w:w="10110" w:type="dxa"/>
            <w:gridSpan w:val="4"/>
            <w:tcBorders>
              <w:top w:val="single" w:sz="4" w:space="0" w:color="000000"/>
              <w:left w:val="single" w:sz="4" w:space="0" w:color="000000"/>
              <w:right w:val="single" w:sz="4" w:space="0" w:color="000000"/>
            </w:tcBorders>
            <w:shd w:fill="D9D9D9" w:val="clear"/>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Valor Total Estimado da Contratação</w:t>
            </w:r>
          </w:p>
        </w:tc>
      </w:tr>
      <w:tr>
        <w:trPr>
          <w:trHeight w:val="388" w:hRule="atLeast"/>
        </w:trPr>
        <w:tc>
          <w:tcPr>
            <w:tcW w:w="10110" w:type="dxa"/>
            <w:gridSpan w:val="4"/>
            <w:tcBorders>
              <w:left w:val="single" w:sz="4" w:space="0" w:color="000000"/>
              <w:bottom w:val="single" w:sz="4" w:space="0" w:color="000000"/>
              <w:right w:val="single" w:sz="4" w:space="0" w:color="000000"/>
            </w:tcBorders>
            <w:tcMar>
              <w:top w:w="28" w:type="dxa"/>
              <w:bottom w:w="28" w:type="dxa"/>
            </w:tcMar>
            <w:vAlign w:val="center"/>
          </w:tcPr>
          <w:p>
            <w:pPr>
              <w:pStyle w:val="Normal1"/>
              <w:widowControl w:val="false"/>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R$ 50.477,00 (cinquenta mil, quatrocentos e setenta e sete reais).</w:t>
            </w:r>
          </w:p>
        </w:tc>
      </w:tr>
      <w:tr>
        <w:trPr>
          <w:trHeight w:val="236" w:hRule="atLeast"/>
        </w:trPr>
        <w:tc>
          <w:tcPr>
            <w:tcW w:w="10110" w:type="dxa"/>
            <w:gridSpan w:val="4"/>
            <w:tcBorders>
              <w:top w:val="single" w:sz="4" w:space="0" w:color="000000"/>
              <w:left w:val="single" w:sz="4" w:space="0" w:color="000000"/>
              <w:right w:val="single" w:sz="4" w:space="0" w:color="000000"/>
            </w:tcBorders>
            <w:shd w:fill="D9D9D9" w:val="clear"/>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Habilitação (vide item 9)</w:t>
            </w:r>
          </w:p>
        </w:tc>
      </w:tr>
      <w:tr>
        <w:trPr>
          <w:trHeight w:val="236" w:hRule="atLeast"/>
        </w:trPr>
        <w:tc>
          <w:tcPr>
            <w:tcW w:w="10110" w:type="dxa"/>
            <w:gridSpan w:val="4"/>
            <w:tcBorders>
              <w:left w:val="single" w:sz="4" w:space="0" w:color="000000"/>
              <w:right w:val="single" w:sz="4" w:space="0" w:color="000000"/>
            </w:tcBorders>
            <w:tcMar>
              <w:top w:w="28" w:type="dxa"/>
              <w:bottom w:w="28" w:type="dxa"/>
            </w:tcMar>
          </w:tcPr>
          <w:p>
            <w:pPr>
              <w:pStyle w:val="Normal1"/>
              <w:widowControl w:val="false"/>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REQUISITOS BÁSICOS DA HABILITAÇÃO:</w:t>
            </w:r>
          </w:p>
        </w:tc>
      </w:tr>
      <w:tr>
        <w:trPr>
          <w:trHeight w:val="236" w:hRule="atLeast"/>
        </w:trPr>
        <w:tc>
          <w:tcPr>
            <w:tcW w:w="10110" w:type="dxa"/>
            <w:gridSpan w:val="4"/>
            <w:tcBorders>
              <w:left w:val="single" w:sz="4" w:space="0" w:color="000000"/>
              <w:bottom w:val="single" w:sz="4" w:space="0" w:color="000000"/>
              <w:right w:val="single" w:sz="4" w:space="0" w:color="000000"/>
            </w:tcBorders>
            <w:tcMar>
              <w:top w:w="28" w:type="dxa"/>
              <w:bottom w:w="28" w:type="dxa"/>
            </w:tcMar>
          </w:tcPr>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1) Registro Comercial</w:t>
            </w:r>
            <w:r>
              <w:rPr>
                <w:rFonts w:eastAsia="Verdana" w:cs="Verdana" w:ascii="Verdana" w:hAnsi="Verdana"/>
                <w:color w:val="000000"/>
                <w:sz w:val="18"/>
                <w:szCs w:val="18"/>
                <w:shd w:fill="auto" w:val="clear"/>
              </w:rPr>
              <w:t>, no caso de empresa individual.</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2) Ato Constitutivo, Estatuto ou Contrato Social</w:t>
            </w:r>
            <w:r>
              <w:rPr>
                <w:rFonts w:eastAsia="Verdana" w:cs="Verdana" w:ascii="Verdana" w:hAnsi="Verdana"/>
                <w:color w:val="000000"/>
                <w:sz w:val="18"/>
                <w:szCs w:val="18"/>
                <w:shd w:fill="auto" w:val="clear"/>
              </w:rPr>
              <w:t xml:space="preserve"> em vigor, devidamente registrado, em se tratando de sociedade comercial, e, no caso de sociedade por ações, acompanhado de documentos de eleição de seus administradores e alterações ou da consolidação respectiva.</w:t>
            </w:r>
          </w:p>
          <w:p>
            <w:pPr>
              <w:pStyle w:val="Normal1"/>
              <w:widowControl w:val="false"/>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3) Prova de Inscrição no Cadastro de Pessoas Físicas (CPF) ou no Cadastro Nacional de Pessoas Jurídicas (CNPJ).</w:t>
            </w:r>
          </w:p>
          <w:p>
            <w:pPr>
              <w:pStyle w:val="Normal1"/>
              <w:widowControl w:val="false"/>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4) Inscrição no cadastro de contribuintes estadual e/ou municipal, se houver, relativo ao domicílio ou sede do licitante, pertinente ao seu ramo de atividade e compatível com o objeto contratual;</w:t>
            </w:r>
          </w:p>
          <w:p>
            <w:pPr>
              <w:pStyle w:val="Normal1"/>
              <w:widowControl w:val="false"/>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5) Certidão Conjunta Negativa de Débitos Relativos aos Tributos Federais e à Dívida Ativa da União, expedida pela Secretaria da Receita Federal, contemplando comprovação de regularidade perante a Seguridade Social.</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6) Prova de Regularidade para com a Fazenda do Estado</w:t>
            </w:r>
            <w:r>
              <w:rPr>
                <w:rFonts w:eastAsia="Verdana" w:cs="Verdana" w:ascii="Verdana" w:hAnsi="Verdana"/>
                <w:color w:val="000000"/>
                <w:sz w:val="18"/>
                <w:szCs w:val="18"/>
                <w:shd w:fill="auto" w:val="clear"/>
              </w:rPr>
              <w:t xml:space="preserve"> em que for sediada a licitante;</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7) Prova de Regularidade para com a Fazenda do Município</w:t>
            </w:r>
            <w:r>
              <w:rPr>
                <w:rFonts w:eastAsia="Verdana" w:cs="Verdana" w:ascii="Verdana" w:hAnsi="Verdana"/>
                <w:color w:val="000000"/>
                <w:sz w:val="18"/>
                <w:szCs w:val="18"/>
                <w:shd w:fill="auto" w:val="clear"/>
              </w:rPr>
              <w:t xml:space="preserve"> em que for sediada a licitante;</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 xml:space="preserve">8) Prova de regularidade perante o Fundo de Garantia por Tempo de Serviço (FGTS), </w:t>
            </w:r>
            <w:r>
              <w:rPr>
                <w:rFonts w:eastAsia="Verdana" w:cs="Verdana" w:ascii="Verdana" w:hAnsi="Verdana"/>
                <w:color w:val="000000"/>
                <w:sz w:val="18"/>
                <w:szCs w:val="18"/>
                <w:shd w:fill="auto" w:val="clear"/>
              </w:rPr>
              <w:t>com validade na data de realização da licitação.</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9) Prova de inexistência de débitos inadimplidos perante a Justiça do Trabalho</w:t>
            </w:r>
            <w:r>
              <w:rPr>
                <w:rFonts w:eastAsia="Verdana" w:cs="Verdana" w:ascii="Verdana" w:hAnsi="Verdana"/>
                <w:color w:val="000000"/>
                <w:sz w:val="18"/>
                <w:szCs w:val="18"/>
                <w:shd w:fill="auto" w:val="clear"/>
              </w:rPr>
              <w:t xml:space="preserve">, mediante a apresentação de certidão negativa – </w:t>
            </w:r>
            <w:r>
              <w:rPr>
                <w:rFonts w:eastAsia="Verdana" w:cs="Verdana" w:ascii="Verdana" w:hAnsi="Verdana"/>
                <w:b/>
                <w:color w:val="000000"/>
                <w:sz w:val="18"/>
                <w:szCs w:val="18"/>
                <w:shd w:fill="auto" w:val="clear"/>
              </w:rPr>
              <w:t>CNDT</w:t>
            </w:r>
            <w:r>
              <w:rPr>
                <w:rFonts w:eastAsia="Verdana" w:cs="Verdana" w:ascii="Verdana" w:hAnsi="Verdana"/>
                <w:color w:val="000000"/>
                <w:sz w:val="18"/>
                <w:szCs w:val="18"/>
                <w:shd w:fill="auto" w:val="clear"/>
              </w:rPr>
              <w:t>.</w:t>
            </w:r>
          </w:p>
          <w:p>
            <w:pPr>
              <w:pStyle w:val="Normal1"/>
              <w:widowControl w:val="false"/>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10) Certidão negativa de falência expedida pelo distribuidor da sede do licitante</w:t>
            </w:r>
            <w:r>
              <w:rPr>
                <w:rFonts w:eastAsia="Verdana" w:cs="Verdana" w:ascii="Verdana" w:hAnsi="Verdana"/>
                <w:color w:val="000000"/>
                <w:sz w:val="18"/>
                <w:szCs w:val="18"/>
                <w:shd w:fill="auto" w:val="clear"/>
              </w:rPr>
              <w:t xml:space="preserve"> com data de emissão de, no máximo, 60 (sessenta) dias antes da data fixada para a abertura da licitação, se outro não estiver nela fixado.</w:t>
            </w:r>
          </w:p>
          <w:p>
            <w:pPr>
              <w:pStyle w:val="Normal1"/>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 xml:space="preserve">Obs1: </w:t>
            </w:r>
            <w:r>
              <w:rPr>
                <w:rFonts w:eastAsia="Verdana" w:cs="Verdana" w:ascii="Verdana" w:hAnsi="Verdana"/>
                <w:color w:val="000000"/>
                <w:sz w:val="18"/>
                <w:szCs w:val="18"/>
                <w:shd w:fill="auto" w:val="clear"/>
              </w:rPr>
              <w:t>Será verificada a Prova de Regularidade com a Secretaria da Fazenda do Estado do Espírito Santo para empresas sediadas fora do Estado;</w:t>
            </w:r>
          </w:p>
          <w:p>
            <w:pPr>
              <w:pStyle w:val="Normal1"/>
              <w:widowControl w:val="false"/>
              <w:tabs>
                <w:tab w:val="clear" w:pos="720"/>
                <w:tab w:val="left" w:pos="-31680" w:leader="none"/>
                <w:tab w:val="left" w:pos="-31318" w:leader="none"/>
                <w:tab w:val="left" w:pos="-30184" w:leader="none"/>
                <w:tab w:val="left" w:pos="25146" w:leader="none"/>
                <w:tab w:val="left" w:pos="27414" w:leader="none"/>
                <w:tab w:val="left" w:pos="28548" w:leader="none"/>
                <w:tab w:val="left" w:pos="29682" w:leader="none"/>
                <w:tab w:val="left" w:pos="30816" w:leader="none"/>
                <w:tab w:val="left" w:pos="3168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widowControl w:val="false"/>
              <w:pBdr/>
              <w:spacing w:lineRule="auto" w:line="240" w:before="0" w:after="200"/>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 xml:space="preserve">Obs2: </w:t>
            </w:r>
            <w:r>
              <w:rPr>
                <w:rFonts w:eastAsia="Verdana" w:cs="Verdana" w:ascii="Verdana" w:hAnsi="Verdana"/>
                <w:color w:val="000000"/>
                <w:sz w:val="18"/>
                <w:szCs w:val="18"/>
                <w:shd w:fill="auto" w:val="clear"/>
              </w:rPr>
              <w:t>Recomendamos que</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t</w:t>
            </w:r>
            <w:r>
              <w:rPr>
                <w:rFonts w:eastAsia="Verdana" w:cs="Verdana" w:ascii="Verdana" w:hAnsi="Verdana"/>
                <w:color w:val="000000"/>
                <w:sz w:val="18"/>
                <w:szCs w:val="18"/>
                <w:shd w:fill="auto" w:val="clear"/>
              </w:rPr>
              <w:t xml:space="preserve">odos os documentos básicos acima </w:t>
            </w:r>
            <w:r>
              <w:rPr>
                <w:rFonts w:eastAsia="Verdana" w:cs="Verdana" w:ascii="Verdana" w:hAnsi="Verdana"/>
                <w:color w:val="000000"/>
                <w:sz w:val="18"/>
                <w:szCs w:val="18"/>
                <w:shd w:fill="auto" w:val="clear"/>
              </w:rPr>
              <w:t>estejam</w:t>
            </w:r>
            <w:r>
              <w:rPr>
                <w:rFonts w:eastAsia="Verdana" w:cs="Verdana" w:ascii="Verdana" w:hAnsi="Verdana"/>
                <w:color w:val="000000"/>
                <w:sz w:val="18"/>
                <w:szCs w:val="18"/>
                <w:shd w:fill="auto" w:val="clear"/>
              </w:rPr>
              <w:t xml:space="preserve"> atualizados no SICAF na data da abertura da sessão pública.</w:t>
            </w:r>
          </w:p>
        </w:tc>
      </w:tr>
      <w:tr>
        <w:trPr>
          <w:trHeight w:val="360" w:hRule="atLeast"/>
        </w:trPr>
        <w:tc>
          <w:tcPr>
            <w:tcW w:w="10110" w:type="dxa"/>
            <w:gridSpan w:val="4"/>
            <w:tcBorders>
              <w:top w:val="single" w:sz="4" w:space="0" w:color="000000"/>
              <w:left w:val="single" w:sz="4" w:space="0" w:color="000000"/>
              <w:right w:val="single" w:sz="4" w:space="0" w:color="000000"/>
            </w:tcBorders>
            <w:tcMar>
              <w:top w:w="28" w:type="dxa"/>
              <w:bottom w:w="28" w:type="dxa"/>
            </w:tcMar>
          </w:tcPr>
          <w:p>
            <w:pPr>
              <w:pStyle w:val="Normal1"/>
              <w:widowControl w:val="false"/>
              <w:pBd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t>OBSERVAÇÃO</w:t>
            </w:r>
            <w:r>
              <w:rPr>
                <w:rFonts w:eastAsia="Verdana" w:cs="Verdana" w:ascii="Verdana" w:hAnsi="Verdana"/>
                <w:b/>
                <w:color w:val="000000"/>
                <w:sz w:val="18"/>
                <w:szCs w:val="18"/>
                <w:shd w:fill="auto" w:val="clear"/>
              </w:rPr>
              <w:t>:</w:t>
            </w:r>
          </w:p>
          <w:p>
            <w:pPr>
              <w:pStyle w:val="Normal1"/>
              <w:widowControl w:val="false"/>
              <w:pBd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widowControl w:val="false"/>
              <w:spacing w:lineRule="auto" w:line="240" w:before="240" w:after="240"/>
              <w:jc w:val="both"/>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1)</w:t>
            </w:r>
            <w:r>
              <w:rPr>
                <w:rFonts w:eastAsia="Verdana" w:cs="Verdana" w:ascii="Verdana" w:hAnsi="Verdana"/>
                <w:color w:val="000000"/>
                <w:sz w:val="18"/>
                <w:szCs w:val="18"/>
                <w:shd w:fill="auto" w:val="clear"/>
              </w:rPr>
              <w:t xml:space="preserve"> Os licitantes vencedores, </w:t>
            </w:r>
            <w:r>
              <w:rPr>
                <w:rFonts w:eastAsia="Verdana" w:cs="Verdana" w:ascii="Verdana" w:hAnsi="Verdana"/>
                <w:b/>
                <w:color w:val="000000"/>
                <w:sz w:val="18"/>
                <w:szCs w:val="18"/>
                <w:shd w:fill="auto" w:val="clear"/>
              </w:rPr>
              <w:t>na fase de apresentação da proposta</w:t>
            </w:r>
            <w:r>
              <w:rPr>
                <w:rFonts w:eastAsia="Verdana" w:cs="Verdana" w:ascii="Verdana" w:hAnsi="Verdana"/>
                <w:color w:val="000000"/>
                <w:sz w:val="18"/>
                <w:szCs w:val="18"/>
                <w:shd w:fill="auto" w:val="clear"/>
              </w:rPr>
              <w:t xml:space="preserve">, deverão comprovar que os fabricantes estão inscritos no Cadastro Técnico Federal de Atividades Potencialmente Poluidoras e Utilizadoras de Recursos Ambientais (CTF/APP) do </w:t>
            </w:r>
            <w:r>
              <w:rPr>
                <w:rFonts w:eastAsia="Verdana" w:cs="Verdana" w:ascii="Verdana" w:hAnsi="Verdana"/>
                <w:b/>
                <w:color w:val="000000"/>
                <w:sz w:val="18"/>
                <w:szCs w:val="18"/>
                <w:shd w:fill="auto" w:val="clear"/>
              </w:rPr>
              <w:t>IBAMA</w:t>
            </w:r>
            <w:r>
              <w:rPr>
                <w:rFonts w:eastAsia="Verdana" w:cs="Verdana" w:ascii="Verdana" w:hAnsi="Verdana"/>
                <w:color w:val="000000"/>
                <w:sz w:val="18"/>
                <w:szCs w:val="18"/>
                <w:shd w:fill="auto" w:val="clear"/>
              </w:rPr>
              <w:t xml:space="preserve"> ou apresentar documento comprobatório de dispensa de inscrição no referido cadastro, emitido pelo órgão ambiental competente (IBAMA, IEMA, etc)</w:t>
            </w:r>
          </w:p>
          <w:p>
            <w:pPr>
              <w:pStyle w:val="Normal1"/>
              <w:widowControl w:val="false"/>
              <w:spacing w:lineRule="auto" w:line="240" w:before="240" w:after="24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t xml:space="preserve">2) Conforme previsto no item </w:t>
            </w:r>
            <w:r>
              <w:rPr>
                <w:rFonts w:eastAsia="Verdana" w:cs="Verdana" w:ascii="Verdana" w:hAnsi="Verdana"/>
                <w:b/>
                <w:color w:val="000000"/>
                <w:sz w:val="18"/>
                <w:szCs w:val="18"/>
                <w:shd w:fill="auto" w:val="clear"/>
              </w:rPr>
              <w:t>5.3 do Termo de Referência</w:t>
            </w:r>
            <w:r>
              <w:rPr>
                <w:rFonts w:eastAsia="Verdana" w:cs="Verdana" w:ascii="Verdana" w:hAnsi="Verdana"/>
                <w:color w:val="000000"/>
                <w:sz w:val="18"/>
                <w:szCs w:val="18"/>
                <w:shd w:fill="auto" w:val="clear"/>
              </w:rPr>
              <w:t xml:space="preserve">, poderão ser solicitadas amostras dos materiais durante a licitação. Referidas amostras, quando solicitadas, deverão ser entregues em no máximo </w:t>
            </w:r>
            <w:r>
              <w:rPr>
                <w:rFonts w:eastAsia="Verdana" w:cs="Verdana" w:ascii="Verdana" w:hAnsi="Verdana"/>
                <w:b/>
                <w:color w:val="000000"/>
                <w:sz w:val="18"/>
                <w:szCs w:val="18"/>
                <w:shd w:fill="auto" w:val="clear"/>
              </w:rPr>
              <w:t xml:space="preserve">10 (dez) dias corridos </w:t>
            </w:r>
            <w:r>
              <w:rPr>
                <w:rFonts w:eastAsia="Verdana" w:cs="Verdana" w:ascii="Verdana" w:hAnsi="Verdana"/>
                <w:color w:val="000000"/>
                <w:sz w:val="18"/>
                <w:szCs w:val="18"/>
                <w:shd w:fill="auto" w:val="clear"/>
              </w:rPr>
              <w:t>(contados do 1º dia útil subseqüente à data de recebimento da solicitação formal do Pregoeiro via chat), no endereço que será informado pelo mesmo.</w:t>
            </w:r>
          </w:p>
          <w:p>
            <w:pPr>
              <w:pStyle w:val="Normal1"/>
              <w:widowControl w:val="false"/>
              <w:pBdr/>
              <w:ind w:left="0" w:hanging="0"/>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tc>
      </w:tr>
      <w:tr>
        <w:trPr>
          <w:trHeight w:val="200" w:hRule="atLeast"/>
        </w:trPr>
        <w:tc>
          <w:tcPr>
            <w:tcW w:w="10110" w:type="dxa"/>
            <w:gridSpan w:val="4"/>
            <w:tcBorders>
              <w:top w:val="single" w:sz="4" w:space="0" w:color="000000"/>
              <w:left w:val="single" w:sz="4" w:space="0" w:color="000000"/>
              <w:bottom w:val="single" w:sz="4" w:space="0" w:color="000000"/>
              <w:right w:val="single" w:sz="4" w:space="0" w:color="000000"/>
            </w:tcBorders>
            <w:shd w:fill="D9D9D9" w:val="clear"/>
            <w:tcMar>
              <w:top w:w="0" w:type="dxa"/>
              <w:bottom w:w="0" w:type="dxa"/>
            </w:tcMar>
          </w:tcPr>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color w:val="auto"/>
                <w:sz w:val="18"/>
                <w:szCs w:val="18"/>
                <w:shd w:fill="auto" w:val="clear"/>
              </w:rPr>
            </w:pPr>
            <w:r>
              <w:rPr>
                <w:rFonts w:eastAsia="Verdana" w:cs="Verdana" w:ascii="Verdana" w:hAnsi="Verdana"/>
                <w:b/>
                <w:color w:val="000000"/>
                <w:sz w:val="18"/>
                <w:szCs w:val="18"/>
                <w:shd w:fill="auto" w:val="clear"/>
              </w:rPr>
              <w:t>TODOS OS DOCUMENTOS</w:t>
            </w:r>
            <w:r>
              <w:rPr>
                <w:rFonts w:eastAsia="Verdana" w:cs="Verdana" w:ascii="Verdana" w:hAnsi="Verdana"/>
                <w:color w:val="000000"/>
                <w:sz w:val="18"/>
                <w:szCs w:val="18"/>
                <w:shd w:fill="auto" w:val="clear"/>
              </w:rPr>
              <w:t xml:space="preserve"> (EDITAL, AVISOS, ESCLARECIMENTOS, IMPUGNAÇÕES E OUTROS) ESTARÃO DISPONÍVEIS NO SÍTIO DO PJES.</w:t>
            </w:r>
          </w:p>
          <w:p>
            <w:pPr>
              <w:pStyle w:val="Normal1"/>
              <w:widowControl w:val="false"/>
              <w:pBdr/>
              <w:tabs>
                <w:tab w:val="clear" w:pos="720"/>
                <w:tab w:val="left" w:pos="1440" w:leader="none"/>
                <w:tab w:val="center" w:pos="4419" w:leader="none"/>
                <w:tab w:val="right" w:pos="8838" w:leader="none"/>
              </w:tabs>
              <w:jc w:val="center"/>
              <w:rPr/>
            </w:pPr>
            <w:hyperlink r:id="rId4">
              <w:r>
                <w:rPr>
                  <w:rFonts w:eastAsia="Verdana" w:cs="Verdana" w:ascii="Verdana" w:hAnsi="Verdana"/>
                  <w:color w:val="000000"/>
                  <w:sz w:val="18"/>
                  <w:szCs w:val="18"/>
                  <w:u w:val="single"/>
                  <w:shd w:fill="auto" w:val="clear"/>
                </w:rPr>
                <w:t>www.tjes.jus.br &gt; Portal da Transparência &gt; Licitações e Contratos &gt; Licitações</w:t>
              </w:r>
            </w:hyperlink>
          </w:p>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b/>
                <w:b/>
                <w:color w:val="auto"/>
                <w:shd w:fill="auto" w:val="clear"/>
              </w:rPr>
            </w:pPr>
            <w:r>
              <w:rPr>
                <w:rFonts w:eastAsia="Verdana" w:cs="Verdana" w:ascii="Verdana" w:hAnsi="Verdana"/>
                <w:b/>
                <w:color w:val="000000"/>
                <w:shd w:fill="auto" w:val="clear"/>
              </w:rPr>
            </w:r>
          </w:p>
        </w:tc>
      </w:tr>
      <w:tr>
        <w:trPr>
          <w:trHeight w:val="200" w:hRule="atLeast"/>
        </w:trPr>
        <w:tc>
          <w:tcPr>
            <w:tcW w:w="10110" w:type="dxa"/>
            <w:gridSpan w:val="4"/>
            <w:tcBorders>
              <w:top w:val="single" w:sz="4" w:space="0" w:color="000000"/>
              <w:left w:val="single" w:sz="4" w:space="0" w:color="000000"/>
              <w:bottom w:val="single" w:sz="4" w:space="0" w:color="000000"/>
              <w:right w:val="single" w:sz="4" w:space="0" w:color="000000"/>
            </w:tcBorders>
            <w:shd w:fill="D9D9D9" w:val="clear"/>
            <w:tcMar>
              <w:top w:w="0" w:type="dxa"/>
              <w:bottom w:w="0" w:type="dxa"/>
            </w:tcMar>
          </w:tcPr>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b/>
                <w:b/>
                <w:color w:val="auto"/>
                <w:shd w:fill="auto" w:val="clear"/>
              </w:rPr>
            </w:pPr>
            <w:r>
              <w:rPr>
                <w:rFonts w:eastAsia="Verdana" w:cs="Verdana" w:ascii="Verdana" w:hAnsi="Verdana"/>
                <w:b/>
                <w:color w:val="000000"/>
                <w:shd w:fill="auto" w:val="clear"/>
              </w:rPr>
            </w:r>
          </w:p>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b/>
                <w:b/>
                <w:color w:val="auto"/>
                <w:shd w:fill="auto" w:val="clear"/>
              </w:rPr>
            </w:pPr>
            <w:r>
              <w:rPr>
                <w:rFonts w:eastAsia="Verdana" w:cs="Verdana" w:ascii="Verdana" w:hAnsi="Verdana"/>
                <w:b/>
                <w:color w:val="000000"/>
                <w:shd w:fill="auto" w:val="clear"/>
              </w:rPr>
              <w:t>ESTA CAPA É PARTE INTEGRANTE DO PRESENTE EDITAL</w:t>
            </w:r>
          </w:p>
          <w:p>
            <w:pPr>
              <w:pStyle w:val="Normal1"/>
              <w:widowControl w:val="false"/>
              <w:pBdr/>
              <w:tabs>
                <w:tab w:val="clear" w:pos="720"/>
                <w:tab w:val="left" w:pos="1440" w:leader="none"/>
                <w:tab w:val="center" w:pos="4419" w:leader="none"/>
                <w:tab w:val="right" w:pos="8838" w:leader="none"/>
              </w:tabs>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tc>
      </w:tr>
    </w:tbl>
    <w:p>
      <w:pPr>
        <w:pStyle w:val="Normal1"/>
        <w:rPr>
          <w:color w:val="auto"/>
          <w:shd w:fill="auto" w:val="clear"/>
        </w:rPr>
      </w:pPr>
      <w:r>
        <w:rPr>
          <w:color w:val="000000"/>
          <w:shd w:fill="auto" w:val="clear"/>
        </w:rPr>
      </w:r>
    </w:p>
    <w:p>
      <w:pPr>
        <w:pStyle w:val="Normal1"/>
        <w:pBdr/>
        <w:tabs>
          <w:tab w:val="clear" w:pos="720"/>
          <w:tab w:val="left" w:pos="709" w:leader="none"/>
        </w:tabs>
        <w:jc w:val="center"/>
        <w:rPr>
          <w:rFonts w:ascii="Verdana" w:hAnsi="Verdana" w:eastAsia="Verdana" w:cs="Verdana"/>
          <w:b/>
          <w:b/>
          <w:color w:val="auto"/>
          <w:sz w:val="24"/>
          <w:szCs w:val="24"/>
          <w:shd w:fill="auto" w:val="clear"/>
        </w:rPr>
      </w:pPr>
      <w:r>
        <w:rPr>
          <w:rFonts w:eastAsia="Verdana" w:cs="Verdana" w:ascii="Verdana" w:hAnsi="Verdana"/>
          <w:b/>
          <w:color w:val="000000"/>
          <w:sz w:val="24"/>
          <w:szCs w:val="24"/>
          <w:shd w:fill="auto" w:val="clear"/>
        </w:rPr>
      </w:r>
    </w:p>
    <w:p>
      <w:pPr>
        <w:pStyle w:val="Normal1"/>
        <w:rPr>
          <w:rFonts w:ascii="Verdana" w:hAnsi="Verdana" w:eastAsia="Verdana" w:cs="Verdana"/>
          <w:b/>
          <w:b/>
          <w:color w:val="auto"/>
          <w:sz w:val="24"/>
          <w:szCs w:val="24"/>
          <w:shd w:fill="auto" w:val="clear"/>
        </w:rPr>
      </w:pPr>
      <w:r>
        <w:rPr>
          <w:rFonts w:eastAsia="Verdana" w:cs="Verdana" w:ascii="Verdana" w:hAnsi="Verdana"/>
          <w:b/>
          <w:color w:val="000000"/>
          <w:sz w:val="24"/>
          <w:szCs w:val="24"/>
          <w:shd w:fill="auto" w:val="clear"/>
        </w:rPr>
      </w:r>
      <w:r>
        <w:br w:type="page"/>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r>
        <w:rPr>
          <w:rFonts w:eastAsia="Verdana" w:cs="Verdana" w:ascii="Verdana" w:hAnsi="Verdana"/>
          <w:b/>
          <w:color w:val="000000"/>
          <w:sz w:val="18"/>
          <w:szCs w:val="18"/>
          <w:shd w:fill="auto" w:val="clear"/>
        </w:rPr>
        <w:t>PREGÃO ELETRÔNICO Nº PE</w:t>
      </w:r>
      <w:r>
        <w:rPr>
          <w:rFonts w:eastAsia="Verdana" w:cs="Verdana" w:ascii="Verdana" w:hAnsi="Verdana"/>
          <w:b/>
          <w:color w:val="000000"/>
          <w:sz w:val="18"/>
          <w:szCs w:val="18"/>
          <w:shd w:fill="auto" w:val="clear"/>
        </w:rPr>
        <w:t>90059</w:t>
      </w:r>
      <w:r>
        <w:rPr>
          <w:rFonts w:eastAsia="Verdana" w:cs="Verdana" w:ascii="Verdana" w:hAnsi="Verdana"/>
          <w:b/>
          <w:color w:val="000000"/>
          <w:sz w:val="18"/>
          <w:szCs w:val="18"/>
          <w:shd w:fill="auto" w:val="clear"/>
        </w:rPr>
        <w:t>/</w:t>
      </w:r>
      <w:r>
        <w:rPr>
          <w:rFonts w:eastAsia="Verdana" w:cs="Verdana" w:ascii="Verdana" w:hAnsi="Verdana"/>
          <w:b/>
          <w:color w:val="000000"/>
          <w:sz w:val="18"/>
          <w:szCs w:val="18"/>
          <w:shd w:fill="auto" w:val="clear"/>
        </w:rPr>
        <w:t>2024</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bookmarkStart w:id="0" w:name="_heading=h.gjdgxs"/>
      <w:bookmarkEnd w:id="0"/>
      <w:r>
        <w:rPr>
          <w:rFonts w:eastAsia="Verdana" w:cs="Verdana" w:ascii="Verdana" w:hAnsi="Verdana"/>
          <w:b/>
          <w:color w:val="000000"/>
          <w:sz w:val="18"/>
          <w:szCs w:val="18"/>
          <w:shd w:fill="auto" w:val="clear"/>
        </w:rPr>
        <w:t xml:space="preserve">PROCESSO SEI Nº </w:t>
      </w:r>
      <w:r>
        <w:rPr>
          <w:rFonts w:eastAsia="Verdana" w:cs="Verdana" w:ascii="Verdana" w:hAnsi="Verdana"/>
          <w:b/>
          <w:color w:val="000000"/>
          <w:sz w:val="18"/>
          <w:szCs w:val="18"/>
          <w:shd w:fill="auto" w:val="clear"/>
        </w:rPr>
        <w:t>7000247-48.2024.8.08.0024</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r>
        <w:rPr>
          <w:rFonts w:eastAsia="Verdana" w:cs="Verdana" w:ascii="Verdana" w:hAnsi="Verdana"/>
          <w:b/>
          <w:color w:val="000000"/>
          <w:sz w:val="18"/>
          <w:szCs w:val="18"/>
          <w:shd w:fill="auto" w:val="clear"/>
        </w:rPr>
        <w:t>CIC-TCEES Nº 2024.500J1200001.02.0041</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r>
        <w:rPr>
          <w:rFonts w:eastAsia="Verdana" w:cs="Verdana" w:ascii="Verdana" w:hAnsi="Verdana"/>
          <w:b/>
          <w:i/>
          <w:color w:val="000000"/>
          <w:sz w:val="18"/>
          <w:szCs w:val="18"/>
          <w:shd w:fill="auto" w:val="clear"/>
        </w:rPr>
        <w:t>PARTICIPAÇÃO EXCLUSIVA DE MICROEMPRESAS E EMPRESAS DE PEQUENO PORTE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r>
        <w:rPr>
          <w:rFonts w:eastAsia="Verdana" w:cs="Verdana" w:ascii="Verdana" w:hAnsi="Verdana"/>
          <w:b/>
          <w:color w:val="000000"/>
          <w:sz w:val="18"/>
          <w:szCs w:val="18"/>
          <w:shd w:fill="auto" w:val="clear"/>
        </w:rPr>
        <w:t>TIPO: MENOR PREÇO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Legislação</w:t>
      </w:r>
      <w:r>
        <w:rPr>
          <w:rFonts w:eastAsia="Verdana" w:cs="Verdana" w:ascii="Verdana" w:hAnsi="Verdana"/>
          <w:color w:val="000000"/>
          <w:sz w:val="18"/>
          <w:szCs w:val="18"/>
          <w:shd w:fill="auto" w:val="clear"/>
        </w:rPr>
        <w:t xml:space="preserve">: </w:t>
      </w:r>
      <w:r>
        <w:rPr>
          <w:rFonts w:eastAsia="Verdana" w:cs="Verdana" w:ascii="Verdana" w:hAnsi="Verdana"/>
          <w:b/>
          <w:color w:val="000000"/>
          <w:sz w:val="18"/>
          <w:szCs w:val="18"/>
          <w:shd w:fill="auto" w:val="clear"/>
        </w:rPr>
        <w:t>Lei 14.133/2021</w:t>
      </w:r>
      <w:r>
        <w:rPr>
          <w:rFonts w:eastAsia="Verdana" w:cs="Verdana" w:ascii="Verdana" w:hAnsi="Verdana"/>
          <w:color w:val="000000"/>
          <w:sz w:val="18"/>
          <w:szCs w:val="18"/>
          <w:shd w:fill="auto" w:val="clear"/>
        </w:rPr>
        <w:t xml:space="preserve"> </w:t>
      </w:r>
      <w:r>
        <w:rPr>
          <w:rFonts w:eastAsia="Arial" w:cs="Arial" w:ascii="Arial" w:hAnsi="Arial"/>
          <w:color w:val="000000"/>
          <w:shd w:fill="auto" w:val="clear"/>
        </w:rPr>
        <w:t xml:space="preserve">e demais legislações aplicáveis e, ainda, de acordo com as condições estabelecidas neste Edital. </w:t>
      </w:r>
      <w:r>
        <w:rPr>
          <w:rFonts w:eastAsia="Verdana" w:cs="Verdana" w:ascii="Verdana" w:hAnsi="Verdana"/>
          <w:b/>
          <w:color w:val="000000"/>
          <w:sz w:val="18"/>
          <w:szCs w:val="18"/>
          <w:shd w:fill="auto" w:val="clear"/>
        </w:rPr>
        <w:t>Ato Normativo de designação dos Pregoeiros e Equipes de Apoio nº 346/2023</w:t>
      </w:r>
      <w:r>
        <w:rPr>
          <w:rFonts w:eastAsia="Verdana" w:cs="Verdana" w:ascii="Verdana" w:hAnsi="Verdana"/>
          <w:b/>
          <w:color w:val="000000"/>
          <w:sz w:val="18"/>
          <w:szCs w:val="18"/>
          <w:shd w:fill="auto" w:val="clear"/>
        </w:rPr>
        <w:t>, disponibilizado no Diário da Justiça eletrônico no dia de 03/07/2023.</w:t>
      </w:r>
    </w:p>
    <w:p>
      <w:pPr>
        <w:pStyle w:val="Normal1"/>
        <w:jc w:val="both"/>
        <w:rPr>
          <w:color w:val="auto"/>
          <w:shd w:fill="auto" w:val="clear"/>
        </w:rPr>
      </w:pPr>
      <w:r>
        <w:rPr>
          <w:rFonts w:eastAsia="Verdana" w:cs="Verdana" w:ascii="Verdana" w:hAnsi="Verdana"/>
          <w:strike/>
          <w:color w:val="000000"/>
          <w:sz w:val="18"/>
          <w:szCs w:val="18"/>
          <w:shd w:fill="auto" w:val="clear"/>
        </w:rPr>
        <w:t xml:space="preserve">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709" w:leader="none"/>
        </w:tabs>
        <w:jc w:val="both"/>
        <w:rPr/>
      </w:pPr>
      <w:r>
        <w:rPr>
          <w:rFonts w:eastAsia="Verdana" w:cs="Verdana" w:ascii="Verdana" w:hAnsi="Verdana"/>
          <w:b/>
          <w:color w:val="000000"/>
          <w:sz w:val="18"/>
          <w:szCs w:val="18"/>
          <w:shd w:fill="auto" w:val="clear"/>
        </w:rPr>
        <w:t xml:space="preserve">Órgão Interessado: O ESTADO DO ESPÍRITO SANTO, </w:t>
      </w:r>
      <w:r>
        <w:rPr>
          <w:rFonts w:eastAsia="Verdana" w:cs="Verdana" w:ascii="Verdana" w:hAnsi="Verdana"/>
          <w:color w:val="000000"/>
          <w:sz w:val="18"/>
          <w:szCs w:val="18"/>
          <w:shd w:fill="auto" w:val="clear"/>
        </w:rPr>
        <w:t>por intermédio do</w:t>
      </w:r>
      <w:r>
        <w:rPr>
          <w:rFonts w:eastAsia="Verdana" w:cs="Verdana" w:ascii="Verdana" w:hAnsi="Verdana"/>
          <w:b/>
          <w:color w:val="000000"/>
          <w:sz w:val="18"/>
          <w:szCs w:val="18"/>
          <w:shd w:fill="auto" w:val="clear"/>
        </w:rPr>
        <w:t xml:space="preserve"> PODER JUDICIÁRIO DO ESTADO DO ESPÍRITO SANTO - UASG 925968</w:t>
      </w:r>
      <w:r>
        <w:rPr>
          <w:rFonts w:eastAsia="Verdana" w:cs="Verdana" w:ascii="Verdana" w:hAnsi="Verdana"/>
          <w:color w:val="000000"/>
          <w:sz w:val="18"/>
          <w:szCs w:val="18"/>
          <w:shd w:fill="auto" w:val="clear"/>
        </w:rPr>
        <w:t xml:space="preserve">, CNPJ nº 27.476.100/0001-45, sediado na Rua Des. Homero Mafra, nº 60, Enseada do Suá, Vitória/ES, CEP: 29.050-906, telefone (27) 3334-2000 e site </w:t>
      </w:r>
      <w:hyperlink r:id="rId5">
        <w:r>
          <w:rPr>
            <w:rFonts w:eastAsia="Verdana" w:cs="Verdana" w:ascii="Verdana" w:hAnsi="Verdana"/>
            <w:color w:val="000000"/>
            <w:sz w:val="18"/>
            <w:szCs w:val="18"/>
            <w:u w:val="single"/>
            <w:shd w:fill="auto" w:val="clear"/>
          </w:rPr>
          <w:t>www.tjes.jus.br</w:t>
        </w:r>
      </w:hyperlink>
      <w:r>
        <w:rPr>
          <w:rFonts w:eastAsia="Verdana" w:cs="Verdana" w:ascii="Verdana" w:hAnsi="Verdana"/>
          <w:color w:val="000000"/>
          <w:sz w:val="18"/>
          <w:szCs w:val="18"/>
          <w:shd w:fill="auto" w:val="clear"/>
        </w:rPr>
        <w:t>.</w:t>
      </w:r>
    </w:p>
    <w:p>
      <w:pPr>
        <w:pStyle w:val="Normal1"/>
        <w:pBdr/>
        <w:tabs>
          <w:tab w:val="clear" w:pos="720"/>
          <w:tab w:val="left" w:pos="709"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Sessão Pública: </w:t>
      </w:r>
      <w:r>
        <w:rPr>
          <w:rFonts w:eastAsia="Verdana" w:cs="Verdana" w:ascii="Verdana" w:hAnsi="Verdana"/>
          <w:b/>
          <w:color w:val="000000"/>
          <w:sz w:val="18"/>
          <w:szCs w:val="18"/>
          <w:shd w:fill="auto" w:val="clear"/>
        </w:rPr>
        <w:t>26</w:t>
      </w:r>
      <w:r>
        <w:rPr>
          <w:rFonts w:eastAsia="Verdana" w:cs="Verdana" w:ascii="Verdana" w:hAnsi="Verdana"/>
          <w:b/>
          <w:color w:val="000000"/>
          <w:sz w:val="18"/>
          <w:szCs w:val="18"/>
          <w:shd w:fill="auto" w:val="clear"/>
        </w:rPr>
        <w:t xml:space="preserve"> de </w:t>
      </w:r>
      <w:r>
        <w:rPr>
          <w:rFonts w:eastAsia="Verdana" w:cs="Verdana" w:ascii="Verdana" w:hAnsi="Verdana"/>
          <w:b/>
          <w:color w:val="000000"/>
          <w:sz w:val="18"/>
          <w:szCs w:val="18"/>
          <w:shd w:fill="auto" w:val="clear"/>
        </w:rPr>
        <w:t xml:space="preserve">setembro </w:t>
      </w:r>
      <w:r>
        <w:rPr>
          <w:rFonts w:eastAsia="Verdana" w:cs="Verdana" w:ascii="Verdana" w:hAnsi="Verdana"/>
          <w:b/>
          <w:color w:val="000000"/>
          <w:sz w:val="18"/>
          <w:szCs w:val="18"/>
          <w:shd w:fill="auto" w:val="clear"/>
        </w:rPr>
        <w:t xml:space="preserve">de </w:t>
      </w:r>
      <w:r>
        <w:rPr>
          <w:rFonts w:eastAsia="Verdana" w:cs="Verdana" w:ascii="Verdana" w:hAnsi="Verdana"/>
          <w:b/>
          <w:color w:val="000000"/>
          <w:sz w:val="18"/>
          <w:szCs w:val="18"/>
          <w:shd w:fill="auto" w:val="clear"/>
        </w:rPr>
        <w:t>2024</w:t>
      </w:r>
      <w:r>
        <w:rPr>
          <w:rFonts w:eastAsia="Verdana" w:cs="Verdana" w:ascii="Verdana" w:hAnsi="Verdana"/>
          <w:b/>
          <w:color w:val="000000"/>
          <w:sz w:val="18"/>
          <w:szCs w:val="18"/>
          <w:shd w:fill="auto" w:val="clear"/>
        </w:rPr>
        <w:t xml:space="preserve">,  às __:00 horas, </w:t>
      </w:r>
      <w:r>
        <w:rPr>
          <w:rFonts w:eastAsia="Verdana" w:cs="Verdana" w:ascii="Verdana" w:hAnsi="Verdana"/>
          <w:color w:val="000000"/>
          <w:sz w:val="18"/>
          <w:szCs w:val="18"/>
          <w:shd w:fill="auto" w:val="clear"/>
        </w:rPr>
        <w:t>com participação exclusivamente por meio de sistema eletrônico do Governo Federal (www.gov.br/compras/pt-br/).</w:t>
      </w:r>
    </w:p>
    <w:p>
      <w:pPr>
        <w:pStyle w:val="Normal1"/>
        <w:pBdr/>
        <w:tabs>
          <w:tab w:val="clear" w:pos="720"/>
          <w:tab w:val="left" w:pos="709"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ANEXOS QUE COMPÕEM O EDITAL:</w:t>
      </w:r>
    </w:p>
    <w:p>
      <w:pPr>
        <w:pStyle w:val="Normal1"/>
        <w:pBdr/>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CAPA DO EDITAL</w:t>
      </w:r>
    </w:p>
    <w:p>
      <w:pPr>
        <w:pStyle w:val="Normal1"/>
        <w:pBdr/>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ANEXO I </w:t>
      </w:r>
      <w:r>
        <w:rPr>
          <w:rFonts w:eastAsia="Verdana" w:cs="Verdana" w:ascii="Verdana" w:hAnsi="Verdana"/>
          <w:color w:val="000000"/>
          <w:sz w:val="18"/>
          <w:szCs w:val="18"/>
          <w:shd w:fill="auto" w:val="clear"/>
        </w:rPr>
        <w:t>– Termo de Referência e Adendos:</w:t>
      </w:r>
    </w:p>
    <w:p>
      <w:pPr>
        <w:pStyle w:val="Normal1"/>
        <w:tabs>
          <w:tab w:val="clear" w:pos="720"/>
          <w:tab w:val="left" w:pos="1134" w:leader="none"/>
          <w:tab w:val="left" w:pos="1418" w:leader="none"/>
          <w:tab w:val="left" w:pos="5580" w:leader="none"/>
        </w:tabs>
        <w:jc w:val="both"/>
        <w:rPr>
          <w:color w:val="auto"/>
          <w:shd w:fill="auto" w:val="clear"/>
        </w:rPr>
      </w:pPr>
      <w:r>
        <w:rPr>
          <w:rFonts w:eastAsia="Verdana" w:cs="Verdana" w:ascii="Verdana" w:hAnsi="Verdana"/>
          <w:color w:val="000000"/>
          <w:sz w:val="18"/>
          <w:szCs w:val="18"/>
          <w:shd w:fill="auto" w:val="clear"/>
        </w:rPr>
        <w:tab/>
      </w:r>
      <w:r>
        <w:rPr>
          <w:rFonts w:eastAsia="Verdana" w:cs="Verdana" w:ascii="Verdana" w:hAnsi="Verdana"/>
          <w:b/>
          <w:color w:val="000000"/>
          <w:sz w:val="18"/>
          <w:szCs w:val="18"/>
          <w:shd w:fill="auto" w:val="clear"/>
        </w:rPr>
        <w:t xml:space="preserve">Adendo I </w:t>
      </w:r>
      <w:r>
        <w:rPr>
          <w:rFonts w:eastAsia="Verdana" w:cs="Verdana" w:ascii="Verdana" w:hAnsi="Verdana"/>
          <w:color w:val="000000"/>
          <w:sz w:val="18"/>
          <w:szCs w:val="18"/>
          <w:shd w:fill="auto" w:val="clear"/>
        </w:rPr>
        <w:t>- Planilha de Preços máximos/modelo de proposta comercial</w:t>
      </w:r>
    </w:p>
    <w:p>
      <w:pPr>
        <w:pStyle w:val="Normal1"/>
        <w:tabs>
          <w:tab w:val="clear" w:pos="720"/>
          <w:tab w:val="left" w:pos="1134" w:leader="none"/>
          <w:tab w:val="left" w:pos="1418" w:leader="none"/>
          <w:tab w:val="left" w:pos="558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s>
        <w:jc w:val="both"/>
        <w:rPr>
          <w:color w:val="auto"/>
          <w:shd w:fill="auto" w:val="clear"/>
        </w:rPr>
      </w:pPr>
      <w:r>
        <w:rPr>
          <w:rFonts w:eastAsia="Verdana" w:cs="Verdana" w:ascii="Verdana" w:hAnsi="Verdana"/>
          <w:b/>
          <w:color w:val="000000"/>
          <w:sz w:val="18"/>
          <w:szCs w:val="18"/>
          <w:shd w:fill="auto" w:val="clear"/>
        </w:rPr>
        <w:t>ANEXO II</w:t>
      </w:r>
      <w:r>
        <w:rPr>
          <w:rFonts w:eastAsia="Verdana" w:cs="Verdana" w:ascii="Verdana" w:hAnsi="Verdana"/>
          <w:color w:val="000000"/>
          <w:sz w:val="18"/>
          <w:szCs w:val="18"/>
          <w:shd w:fill="auto" w:val="clear"/>
        </w:rPr>
        <w:t xml:space="preserve"> – Minuta de ata de registro de preços</w:t>
      </w:r>
    </w:p>
    <w:p>
      <w:pPr>
        <w:pStyle w:val="Normal1"/>
        <w:ind w:left="284" w:firstLine="850"/>
        <w:jc w:val="both"/>
        <w:rPr>
          <w:color w:val="auto"/>
          <w:shd w:fill="auto" w:val="clear"/>
        </w:rPr>
      </w:pPr>
      <w:r>
        <w:rPr>
          <w:rFonts w:eastAsia="Verdana" w:cs="Verdana" w:ascii="Verdana" w:hAnsi="Verdana"/>
          <w:b/>
          <w:color w:val="000000"/>
          <w:sz w:val="18"/>
          <w:szCs w:val="18"/>
          <w:shd w:fill="auto" w:val="clear"/>
        </w:rPr>
        <w:t>Adendo I</w:t>
      </w:r>
      <w:r>
        <w:rPr>
          <w:rFonts w:eastAsia="Verdana" w:cs="Verdana" w:ascii="Verdana" w:hAnsi="Verdana"/>
          <w:color w:val="000000"/>
          <w:sz w:val="18"/>
          <w:szCs w:val="18"/>
          <w:shd w:fill="auto" w:val="clear"/>
        </w:rPr>
        <w:t xml:space="preserve"> da Ata: Política do Banco (BID) sobre Práticas Proibidas</w:t>
      </w:r>
    </w:p>
    <w:p>
      <w:pPr>
        <w:pStyle w:val="Normal1"/>
        <w:ind w:left="1134" w:hanging="0"/>
        <w:jc w:val="both"/>
        <w:rPr>
          <w:color w:val="auto"/>
          <w:shd w:fill="auto" w:val="clear"/>
        </w:rPr>
      </w:pPr>
      <w:r>
        <w:rPr>
          <w:rFonts w:eastAsia="Verdana" w:cs="Verdana" w:ascii="Verdana" w:hAnsi="Verdana"/>
          <w:b/>
          <w:color w:val="000000"/>
          <w:sz w:val="18"/>
          <w:szCs w:val="18"/>
          <w:shd w:fill="auto" w:val="clear"/>
        </w:rPr>
        <w:t xml:space="preserve">Adendo II </w:t>
      </w:r>
      <w:r>
        <w:rPr>
          <w:rFonts w:eastAsia="Verdana" w:cs="Verdana" w:ascii="Verdana" w:hAnsi="Verdana"/>
          <w:color w:val="000000"/>
          <w:sz w:val="18"/>
          <w:szCs w:val="18"/>
          <w:shd w:fill="auto" w:val="clear"/>
        </w:rPr>
        <w:t>da Ata: Países elegíveis</w:t>
      </w:r>
    </w:p>
    <w:p>
      <w:pPr>
        <w:pStyle w:val="Normal1"/>
        <w:tabs>
          <w:tab w:val="clear" w:pos="720"/>
          <w:tab w:val="left" w:pos="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1 - DO OBJETO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1.1 - </w:t>
      </w:r>
      <w:r>
        <w:rPr>
          <w:rFonts w:eastAsia="Verdana" w:cs="Verdana" w:ascii="Verdana" w:hAnsi="Verdana"/>
          <w:color w:val="000000"/>
          <w:sz w:val="18"/>
          <w:szCs w:val="18"/>
          <w:shd w:fill="auto" w:val="clear"/>
        </w:rPr>
        <w:t xml:space="preserve">A presente licitação tem por objeto a </w:t>
      </w:r>
      <w:r>
        <w:rPr>
          <w:rFonts w:eastAsia="Verdana" w:cs="Verdana" w:ascii="Verdana" w:hAnsi="Verdana"/>
          <w:b/>
          <w:color w:val="000000"/>
          <w:sz w:val="18"/>
          <w:szCs w:val="18"/>
          <w:shd w:fill="auto" w:val="clear"/>
        </w:rPr>
        <w:t>contratação, por meio do SISTEMA DE REGISTRO DE PREÇOS para eventual aquisição de cadeira infantil para carro para o Tribunal de Justiça do Espírito Santo  - TJES</w:t>
      </w:r>
      <w:r>
        <w:rPr>
          <w:rFonts w:eastAsia="Verdana" w:cs="Verdana" w:ascii="Verdana" w:hAnsi="Verdana"/>
          <w:color w:val="000000"/>
          <w:sz w:val="18"/>
          <w:szCs w:val="18"/>
          <w:shd w:fill="auto" w:val="clear"/>
        </w:rPr>
        <w:t xml:space="preserve">, conforme especificações constantes do Anexo I deste Edital.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CATMAT: 429895</w:t>
      </w:r>
    </w:p>
    <w:p>
      <w:pPr>
        <w:pStyle w:val="Normal1"/>
        <w:jc w:val="both"/>
        <w:rPr>
          <w:rFonts w:ascii="Verdana" w:hAnsi="Verdana" w:eastAsia="Verdana" w:cs="Verdana"/>
          <w:color w:val="auto"/>
          <w:shd w:fill="auto" w:val="clear"/>
        </w:rPr>
      </w:pPr>
      <w:r>
        <w:rPr>
          <w:rFonts w:eastAsia="Verdana" w:cs="Verdana" w:ascii="Verdana" w:hAnsi="Verdana"/>
          <w:color w:val="000000"/>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2 - DA PARTICIPAÇÃO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2.1 -</w:t>
      </w:r>
      <w:r>
        <w:rPr>
          <w:rFonts w:eastAsia="Verdana" w:cs="Verdana" w:ascii="Verdana" w:hAnsi="Verdana"/>
          <w:color w:val="000000"/>
          <w:sz w:val="18"/>
          <w:szCs w:val="18"/>
          <w:shd w:fill="auto" w:val="clear"/>
        </w:rPr>
        <w:t xml:space="preserve"> Poderão participar deste Pregão as microempresas e empresas de pequeno porte interessadas,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2.1.1 -</w:t>
      </w:r>
      <w:r>
        <w:rPr>
          <w:rFonts w:eastAsia="Verdana" w:cs="Verdana" w:ascii="Verdana" w:hAnsi="Verdana"/>
          <w:color w:val="000000"/>
          <w:sz w:val="18"/>
          <w:szCs w:val="18"/>
          <w:shd w:fill="auto" w:val="clear"/>
        </w:rPr>
        <w:t xml:space="preserve"> Os interessados deverão atender às condições exigidas no cadastramento no SICAF até o terceiro dia útil anterior à data prevista para recebimento das propostas.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2.2 -</w:t>
      </w:r>
      <w:r>
        <w:rPr>
          <w:rFonts w:eastAsia="Verdana" w:cs="Verdana" w:ascii="Verdana" w:hAnsi="Verdana"/>
          <w:color w:val="000000"/>
          <w:sz w:val="18"/>
          <w:szCs w:val="18"/>
          <w:shd w:fill="auto" w:val="clear"/>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2.3 -</w:t>
      </w:r>
      <w:r>
        <w:rPr>
          <w:rFonts w:eastAsia="Verdana" w:cs="Verdana" w:ascii="Verdana" w:hAnsi="Verdana"/>
          <w:color w:val="000000"/>
          <w:sz w:val="18"/>
          <w:szCs w:val="18"/>
          <w:shd w:fill="auto" w:val="clear"/>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2.4 -</w:t>
      </w:r>
      <w:r>
        <w:rPr>
          <w:rFonts w:eastAsia="Verdana" w:cs="Verdana" w:ascii="Verdana" w:hAnsi="Verdana"/>
          <w:color w:val="000000"/>
          <w:sz w:val="18"/>
          <w:szCs w:val="18"/>
          <w:shd w:fill="auto" w:val="clear"/>
        </w:rPr>
        <w:t xml:space="preserve"> A não observância do disposto no item anterior poderá ensejar desclassificação no momento da habilitação.</w:t>
      </w:r>
    </w:p>
    <w:p>
      <w:pPr>
        <w:pStyle w:val="Normal1"/>
        <w:tabs>
          <w:tab w:val="clear" w:pos="720"/>
          <w:tab w:val="left" w:pos="-2127" w:leader="none"/>
          <w:tab w:val="left" w:pos="-1985"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2.5 -</w:t>
      </w:r>
      <w:r>
        <w:rPr>
          <w:rFonts w:eastAsia="Verdana" w:cs="Verdana" w:ascii="Verdana" w:hAnsi="Verdana"/>
          <w:color w:val="000000"/>
          <w:sz w:val="18"/>
          <w:szCs w:val="18"/>
          <w:shd w:fill="auto" w:val="clear"/>
        </w:rPr>
        <w:t xml:space="preserve"> A participação nesta licitação</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é exclusiva para microempresas, empresas de pequeno porte e equiparadas, tendo em vista entendimento do Tribunal de Contas da União no sentido de que o limite de 80 mil, a que se refere o art. 48, inc. I, da LC nº 123/06, deve ser aplicável a apenas um exercício financeiro.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2.5.1 -</w:t>
      </w:r>
      <w:r>
        <w:rPr>
          <w:rFonts w:eastAsia="Verdana" w:cs="Verdana" w:ascii="Verdana" w:hAnsi="Verdana"/>
          <w:color w:val="000000"/>
          <w:sz w:val="18"/>
          <w:szCs w:val="18"/>
          <w:shd w:fill="auto" w:val="clear"/>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2.6 </w:t>
      </w:r>
      <w:r>
        <w:rPr>
          <w:rFonts w:eastAsia="Verdana" w:cs="Verdana" w:ascii="Verdana" w:hAnsi="Verdana"/>
          <w:color w:val="000000"/>
          <w:sz w:val="18"/>
          <w:szCs w:val="18"/>
          <w:shd w:fill="auto" w:val="clear"/>
        </w:rPr>
        <w:t>- Não poderão disputar esta licitação:</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2.6.1 - </w:t>
      </w:r>
      <w:r>
        <w:rPr>
          <w:rFonts w:eastAsia="Verdana" w:cs="Verdana" w:ascii="Verdana" w:hAnsi="Verdana"/>
          <w:color w:val="000000"/>
          <w:sz w:val="18"/>
          <w:szCs w:val="18"/>
          <w:shd w:fill="auto" w:val="clear"/>
        </w:rPr>
        <w:t>aquele que não atenda às condições deste Edital e seus anexos;</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2.6.2 - </w:t>
      </w:r>
      <w:r>
        <w:rPr>
          <w:rFonts w:eastAsia="Verdana" w:cs="Verdana" w:ascii="Verdana" w:hAnsi="Verdana"/>
          <w:color w:val="000000"/>
          <w:sz w:val="18"/>
          <w:szCs w:val="18"/>
          <w:shd w:fill="auto" w:val="clear"/>
        </w:rPr>
        <w:t>autor do anteprojeto, do projeto básico ou do projeto executivo, pessoa física ou jurídica, quando a licitação versar sobre serviços ou fornecimento de bens a ele relacionados;</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2.6.3 - </w:t>
      </w:r>
      <w:r>
        <w:rPr>
          <w:rFonts w:eastAsia="Verdana" w:cs="Verdana" w:ascii="Verdana" w:hAnsi="Verdana"/>
          <w:color w:val="000000"/>
          <w:sz w:val="18"/>
          <w:szCs w:val="18"/>
          <w:shd w:fill="auto" w:val="clear"/>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2.6.4 - </w:t>
      </w:r>
      <w:r>
        <w:rPr>
          <w:rFonts w:eastAsia="Verdana" w:cs="Verdana" w:ascii="Verdana" w:hAnsi="Verdana"/>
          <w:color w:val="000000"/>
          <w:sz w:val="18"/>
          <w:szCs w:val="18"/>
          <w:shd w:fill="auto" w:val="clear"/>
        </w:rPr>
        <w:t>pessoa física ou jurídica que se encontre, ao tempo da licitação, impossibilitada de participar da licitação em decorrência de sanção que lhe foi imposta;</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2.6.5 - </w:t>
      </w:r>
      <w:r>
        <w:rPr>
          <w:rFonts w:eastAsia="Verdana" w:cs="Verdana" w:ascii="Verdana" w:hAnsi="Verdana"/>
          <w:color w:val="000000"/>
          <w:sz w:val="18"/>
          <w:szCs w:val="18"/>
          <w:shd w:fill="auto" w:val="clea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2.6.6 - </w:t>
      </w:r>
      <w:r>
        <w:rPr>
          <w:rFonts w:eastAsia="Verdana" w:cs="Verdana" w:ascii="Verdana" w:hAnsi="Verdana"/>
          <w:color w:val="000000"/>
          <w:sz w:val="18"/>
          <w:szCs w:val="18"/>
          <w:shd w:fill="auto" w:val="clear"/>
        </w:rPr>
        <w:t>empresas controladoras, controladas ou coligadas, nos termos da Lei nº 6.404, de 15 de dezembro de 1976, concorrendo entre si;</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2.6.7 - </w:t>
      </w:r>
      <w:r>
        <w:rPr>
          <w:rFonts w:eastAsia="Verdana" w:cs="Verdana" w:ascii="Verdana" w:hAnsi="Verdana"/>
          <w:color w:val="000000"/>
          <w:sz w:val="18"/>
          <w:szCs w:val="18"/>
          <w:shd w:fill="auto" w:val="clea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2.6.8 - </w:t>
      </w:r>
      <w:r>
        <w:rPr>
          <w:rFonts w:eastAsia="Verdana" w:cs="Verdana" w:ascii="Verdana" w:hAnsi="Verdana"/>
          <w:color w:val="000000"/>
          <w:sz w:val="18"/>
          <w:szCs w:val="18"/>
          <w:shd w:fill="auto" w:val="clear"/>
        </w:rPr>
        <w:t>agente público do órgão ou entidade licitante;</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2.6.9 - </w:t>
      </w:r>
      <w:r>
        <w:rPr>
          <w:rFonts w:eastAsia="Verdana" w:cs="Verdana" w:ascii="Verdana" w:hAnsi="Verdana"/>
          <w:color w:val="000000"/>
          <w:sz w:val="18"/>
          <w:szCs w:val="18"/>
          <w:shd w:fill="auto" w:val="clear"/>
        </w:rPr>
        <w:t>pessoas jurídicas reunidas em consórcio, tendo em vista a baixa complexidade do objeto a ser contratado;</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2.6.10 - </w:t>
      </w:r>
      <w:r>
        <w:rPr>
          <w:rFonts w:eastAsia="Verdana" w:cs="Verdana" w:ascii="Verdana" w:hAnsi="Verdana"/>
          <w:color w:val="000000"/>
          <w:sz w:val="18"/>
          <w:szCs w:val="18"/>
          <w:shd w:fill="auto" w:val="clear"/>
        </w:rPr>
        <w:t>Organizações da Sociedade Civil de Interesse Público - OSCIP, atuando nessa condição;</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2.6.11 - </w:t>
      </w:r>
      <w:r>
        <w:rPr>
          <w:rFonts w:eastAsia="Verdana" w:cs="Verdana" w:ascii="Verdana" w:hAnsi="Verdana"/>
          <w:color w:val="000000"/>
          <w:sz w:val="18"/>
          <w:szCs w:val="18"/>
          <w:shd w:fill="auto" w:val="clea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2.6.12 - </w:t>
      </w:r>
      <w:r>
        <w:rPr>
          <w:rFonts w:eastAsia="Verdana" w:cs="Verdana" w:ascii="Verdana" w:hAnsi="Verdana"/>
          <w:color w:val="000000"/>
          <w:sz w:val="18"/>
          <w:szCs w:val="18"/>
          <w:shd w:fill="auto" w:val="clear"/>
        </w:rPr>
        <w:t xml:space="preserve"> Empresas que se encontrem sob falência, em recuperação judicial (Lei nº 11.101), concurso de credores, liquidação ou dissolução;</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2.6.12.1 -  </w:t>
      </w:r>
      <w:r>
        <w:rPr>
          <w:rFonts w:eastAsia="Verdana" w:cs="Verdana" w:ascii="Verdana" w:hAnsi="Verdana"/>
          <w:color w:val="000000"/>
          <w:sz w:val="18"/>
          <w:szCs w:val="18"/>
          <w:shd w:fill="auto" w:val="clear"/>
        </w:rPr>
        <w:t>Será aceita a participação de empresa em recuperação judicial, desde que amparada em certidão emitida pela instância judicial competente, que certifique que a interessada está apta econômica e financeiramente a participar de procedimento licitatório.</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2.6.13 -  </w:t>
      </w:r>
      <w:r>
        <w:rPr>
          <w:rFonts w:eastAsia="Verdana" w:cs="Verdana" w:ascii="Verdana" w:hAnsi="Verdana"/>
          <w:color w:val="000000"/>
          <w:sz w:val="18"/>
          <w:szCs w:val="18"/>
          <w:shd w:fill="auto" w:val="clear"/>
        </w:rPr>
        <w:t>Empresa cujos diretores, gerentes, representantes legais ou técnicos, membros de conselho técnico, consultivo, deliberativo ou administrativo ou sócios, sejam membros ou servidores do Poder Judiciário do Espírito Santo.</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2.6.14 -  </w:t>
      </w:r>
      <w:r>
        <w:rPr>
          <w:rFonts w:eastAsia="Verdana" w:cs="Verdana" w:ascii="Verdana" w:hAnsi="Verdana"/>
          <w:color w:val="000000"/>
          <w:sz w:val="18"/>
          <w:szCs w:val="18"/>
          <w:shd w:fill="auto" w:val="clear"/>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567" w:hanging="0"/>
        <w:jc w:val="both"/>
        <w:rPr>
          <w:color w:val="auto"/>
          <w:shd w:fill="auto" w:val="clear"/>
        </w:rPr>
      </w:pPr>
      <w:r>
        <w:rPr>
          <w:rFonts w:eastAsia="Verdana" w:cs="Verdana" w:ascii="Verdana" w:hAnsi="Verdana"/>
          <w:b/>
          <w:color w:val="000000"/>
          <w:sz w:val="18"/>
          <w:szCs w:val="18"/>
          <w:shd w:fill="auto" w:val="clear"/>
        </w:rPr>
        <w:t xml:space="preserve">2.6.14.1 -  </w:t>
      </w:r>
      <w:r>
        <w:rPr>
          <w:rFonts w:eastAsia="Verdana" w:cs="Verdana" w:ascii="Verdana" w:hAnsi="Verdana"/>
          <w:color w:val="000000"/>
          <w:sz w:val="18"/>
          <w:szCs w:val="18"/>
          <w:shd w:fill="auto" w:val="clear"/>
        </w:rPr>
        <w:t>A vedação constante no item 2.6.14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pPr>
        <w:pStyle w:val="Normal1"/>
        <w:ind w:left="567"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567" w:hanging="0"/>
        <w:jc w:val="both"/>
        <w:rPr>
          <w:color w:val="auto"/>
          <w:shd w:fill="auto" w:val="clear"/>
        </w:rPr>
      </w:pPr>
      <w:r>
        <w:rPr>
          <w:rFonts w:eastAsia="Verdana" w:cs="Verdana" w:ascii="Verdana" w:hAnsi="Verdana"/>
          <w:b/>
          <w:color w:val="000000"/>
          <w:sz w:val="18"/>
          <w:szCs w:val="18"/>
          <w:shd w:fill="auto" w:val="clear"/>
        </w:rPr>
        <w:t xml:space="preserve">2.6.14.2 - </w:t>
      </w:r>
      <w:r>
        <w:rPr>
          <w:rFonts w:eastAsia="Verdana" w:cs="Verdana" w:ascii="Verdana" w:hAnsi="Verdana"/>
          <w:color w:val="000000"/>
          <w:sz w:val="18"/>
          <w:szCs w:val="18"/>
          <w:shd w:fill="auto" w:val="clear"/>
        </w:rPr>
        <w:t>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2.6.15 -  </w:t>
      </w:r>
      <w:r>
        <w:rPr>
          <w:rFonts w:eastAsia="Verdana" w:cs="Verdana" w:ascii="Verdana" w:hAnsi="Verdana"/>
          <w:color w:val="000000"/>
          <w:sz w:val="18"/>
          <w:szCs w:val="18"/>
          <w:shd w:fill="auto" w:val="clear"/>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2.6.16 - </w:t>
      </w:r>
      <w:r>
        <w:rPr>
          <w:rFonts w:eastAsia="Verdana" w:cs="Verdana" w:ascii="Verdana" w:hAnsi="Verdana"/>
          <w:color w:val="000000"/>
          <w:sz w:val="18"/>
          <w:szCs w:val="18"/>
          <w:shd w:fill="auto" w:val="clear"/>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2.6.17 - </w:t>
      </w:r>
      <w:r>
        <w:rPr>
          <w:rFonts w:eastAsia="Verdana" w:cs="Verdana" w:ascii="Verdana" w:hAnsi="Verdana"/>
          <w:color w:val="000000"/>
          <w:sz w:val="18"/>
          <w:szCs w:val="18"/>
          <w:shd w:fill="auto" w:val="clear"/>
        </w:rPr>
        <w:t>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pPr>
        <w:pStyle w:val="Normal1"/>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 xml:space="preserve">2.6.18 - </w:t>
      </w:r>
      <w:r>
        <w:rPr>
          <w:rFonts w:eastAsia="Verdana" w:cs="Verdana" w:ascii="Verdana" w:hAnsi="Verdana"/>
          <w:color w:val="000000"/>
          <w:sz w:val="18"/>
          <w:szCs w:val="18"/>
          <w:shd w:fill="auto" w:val="clear"/>
        </w:rPr>
        <w:t>Havendo alteração no quadro de empregados que contrarie o disposto na Resolução CNJ Nº 07/2005, essa deverá ser imediatamente comunicada ao Tribunal de Justiça para as providências julgadas cabíveis.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2.7 - </w:t>
      </w:r>
      <w:r>
        <w:rPr>
          <w:rFonts w:eastAsia="Verdana" w:cs="Verdana" w:ascii="Verdana" w:hAnsi="Verdana"/>
          <w:color w:val="000000"/>
          <w:sz w:val="18"/>
          <w:szCs w:val="18"/>
          <w:shd w:fill="auto" w:val="clear"/>
        </w:rPr>
        <w:t>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2.8 - </w:t>
      </w:r>
      <w:r>
        <w:rPr>
          <w:rFonts w:eastAsia="Verdana" w:cs="Verdana" w:ascii="Verdana" w:hAnsi="Verdana"/>
          <w:color w:val="000000"/>
          <w:sz w:val="18"/>
          <w:szCs w:val="18"/>
          <w:shd w:fill="auto" w:val="clear"/>
        </w:rPr>
        <w:t>A vedação de que trata o item 2.6.8 estende-se a terceiro que auxilie a condução da contratação na qualidade de integrante de equipe de apoio, profissional especializado ou funcionário ou representante de empresa que preste assessoria técnica.</w:t>
      </w:r>
    </w:p>
    <w:p>
      <w:pPr>
        <w:pStyle w:val="Normal1"/>
        <w:jc w:val="both"/>
        <w:rPr>
          <w:color w:val="auto"/>
          <w:shd w:fill="auto" w:val="clear"/>
        </w:rPr>
      </w:pPr>
      <w:r>
        <w:rPr>
          <w:color w:val="000000"/>
          <w:shd w:fill="auto" w:val="clear"/>
        </w:rPr>
      </w:r>
    </w:p>
    <w:p>
      <w:pPr>
        <w:pStyle w:val="Normal1"/>
        <w:jc w:val="both"/>
        <w:rPr>
          <w:color w:val="auto"/>
          <w:shd w:fill="auto" w:val="clear"/>
        </w:rPr>
      </w:pPr>
      <w:r>
        <w:rPr>
          <w:color w:val="000000"/>
          <w:shd w:fill="auto" w:val="clear"/>
        </w:rPr>
      </w:r>
    </w:p>
    <w:p>
      <w:pPr>
        <w:pStyle w:val="Normal1"/>
        <w:jc w:val="both"/>
        <w:rPr>
          <w:color w:val="auto"/>
          <w:shd w:fill="auto" w:val="clear"/>
        </w:rPr>
      </w:pPr>
      <w:r>
        <w:rPr>
          <w:color w:val="000000"/>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3 </w:t>
      </w:r>
      <w:r>
        <w:rPr>
          <w:rFonts w:eastAsia="Verdana" w:cs="Verdana" w:ascii="Verdana" w:hAnsi="Verdana"/>
          <w:b/>
          <w:color w:val="000000"/>
          <w:sz w:val="18"/>
          <w:szCs w:val="18"/>
          <w:shd w:fill="auto" w:val="clear"/>
        </w:rPr>
        <w:t>- DA APRESENTAÇÃO DA P</w:t>
      </w:r>
      <w:r>
        <w:rPr>
          <w:rFonts w:eastAsia="Verdana" w:cs="Verdana" w:ascii="Verdana" w:hAnsi="Verdana"/>
          <w:b/>
          <w:color w:val="000000"/>
          <w:sz w:val="18"/>
          <w:szCs w:val="18"/>
          <w:shd w:fill="auto" w:val="clear"/>
        </w:rPr>
        <w:t>ROPOSTA  E DOS DOCUMENTOS DE HABILITAÇÃO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3</w:t>
      </w:r>
      <w:r>
        <w:rPr>
          <w:rFonts w:eastAsia="Verdana" w:cs="Verdana" w:ascii="Verdana" w:hAnsi="Verdana"/>
          <w:b/>
          <w:color w:val="000000"/>
          <w:sz w:val="18"/>
          <w:szCs w:val="18"/>
          <w:shd w:fill="auto" w:val="clear"/>
        </w:rPr>
        <w:t xml:space="preserve">.1 - </w:t>
      </w:r>
      <w:r>
        <w:rPr>
          <w:rFonts w:eastAsia="Verdana" w:cs="Verdana" w:ascii="Verdana" w:hAnsi="Verdana"/>
          <w:color w:val="000000"/>
          <w:sz w:val="18"/>
          <w:szCs w:val="18"/>
          <w:shd w:fill="auto" w:val="clear"/>
        </w:rPr>
        <w:t>Na presente licitação, a fase de habilitação sucederá as fases de apresentação de propostas e lances e de julgamento.</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3.2 -</w:t>
      </w:r>
      <w:r>
        <w:rPr>
          <w:rFonts w:eastAsia="Verdana" w:cs="Verdana" w:ascii="Verdana" w:hAnsi="Verdana"/>
          <w:color w:val="000000"/>
          <w:sz w:val="18"/>
          <w:szCs w:val="18"/>
          <w:shd w:fill="auto" w:val="clear"/>
        </w:rPr>
        <w:t xml:space="preserve"> No cadastramento da proposta inicial, o licitante declarará, em campo próprio do sistema, que:</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3.2.1 -</w:t>
      </w:r>
      <w:r>
        <w:rPr>
          <w:rFonts w:eastAsia="Verdana" w:cs="Verdana" w:ascii="Verdana" w:hAnsi="Verdana"/>
          <w:color w:val="000000"/>
          <w:sz w:val="18"/>
          <w:szCs w:val="18"/>
          <w:shd w:fill="auto" w:val="clear"/>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pPr>
      <w:r>
        <w:rPr>
          <w:rFonts w:eastAsia="Verdana" w:cs="Verdana" w:ascii="Verdana" w:hAnsi="Verdana"/>
          <w:b/>
          <w:color w:val="000000"/>
          <w:sz w:val="18"/>
          <w:szCs w:val="18"/>
          <w:shd w:fill="auto" w:val="clear"/>
        </w:rPr>
        <w:t>3.2.2 -</w:t>
      </w:r>
      <w:r>
        <w:rPr>
          <w:rFonts w:eastAsia="Verdana" w:cs="Verdana" w:ascii="Verdana" w:hAnsi="Verdana"/>
          <w:color w:val="000000"/>
          <w:sz w:val="18"/>
          <w:szCs w:val="18"/>
          <w:shd w:fill="auto" w:val="clear"/>
        </w:rPr>
        <w:t xml:space="preserve"> Não emprega menor de 18 anos em trabalho noturno, perigoso ou insalubre e não emprega menor de 16 anos, salvo menor, a partir de 14 anos, na condição de aprendiz, nos termos do</w:t>
      </w:r>
      <w:r>
        <w:fldChar w:fldCharType="begin"/>
      </w:r>
      <w:r>
        <w:rPr>
          <w:sz w:val="18"/>
          <w:shd w:fill="auto" w:val="clear"/>
          <w:szCs w:val="18"/>
          <w:rFonts w:eastAsia="Verdana" w:cs="Verdana" w:ascii="Verdana" w:hAnsi="Verdana"/>
          <w:color w:val="000000"/>
        </w:rPr>
        <w:instrText> HYPERLINK "https://www.planalto.gov.br/ccivil_03/constituicao/constituicaocompilado.htm" \l "art7"</w:instrText>
      </w:r>
      <w:r>
        <w:rPr>
          <w:sz w:val="18"/>
          <w:shd w:fill="auto" w:val="clear"/>
          <w:szCs w:val="18"/>
          <w:rFonts w:eastAsia="Verdana" w:cs="Verdana" w:ascii="Verdana" w:hAnsi="Verdana"/>
          <w:color w:val="000000"/>
        </w:rPr>
        <w:fldChar w:fldCharType="separate"/>
      </w:r>
      <w:r>
        <w:rPr>
          <w:rFonts w:eastAsia="Verdana" w:cs="Verdana" w:ascii="Verdana" w:hAnsi="Verdana"/>
          <w:color w:val="000000"/>
          <w:sz w:val="18"/>
          <w:szCs w:val="18"/>
          <w:shd w:fill="auto" w:val="clear"/>
        </w:rPr>
        <w:t xml:space="preserve"> </w:t>
      </w:r>
      <w:r>
        <w:rPr>
          <w:sz w:val="18"/>
          <w:shd w:fill="auto" w:val="clear"/>
          <w:szCs w:val="18"/>
          <w:rFonts w:eastAsia="Verdana" w:cs="Verdana" w:ascii="Verdana" w:hAnsi="Verdana"/>
          <w:color w:val="000000"/>
        </w:rPr>
        <w:fldChar w:fldCharType="end"/>
      </w:r>
      <w:r>
        <w:fldChar w:fldCharType="begin"/>
      </w:r>
      <w:r>
        <w:rPr>
          <w:sz w:val="18"/>
          <w:u w:val="single"/>
          <w:shd w:fill="auto" w:val="clear"/>
          <w:szCs w:val="18"/>
          <w:rFonts w:eastAsia="Verdana" w:cs="Verdana" w:ascii="Verdana" w:hAnsi="Verdana"/>
          <w:color w:val="000000"/>
        </w:rPr>
        <w:instrText> HYPERLINK "https://www.planalto.gov.br/ccivil_03/constituicao/constituicaocompilado.htm" \l "art7"</w:instrText>
      </w:r>
      <w:r>
        <w:rPr>
          <w:sz w:val="18"/>
          <w:u w:val="single"/>
          <w:shd w:fill="auto" w:val="clear"/>
          <w:szCs w:val="18"/>
          <w:rFonts w:eastAsia="Verdana" w:cs="Verdana" w:ascii="Verdana" w:hAnsi="Verdana"/>
          <w:color w:val="000000"/>
        </w:rPr>
        <w:fldChar w:fldCharType="separate"/>
      </w:r>
      <w:r>
        <w:rPr>
          <w:rFonts w:eastAsia="Verdana" w:cs="Verdana" w:ascii="Verdana" w:hAnsi="Verdana"/>
          <w:color w:val="000000"/>
          <w:sz w:val="18"/>
          <w:szCs w:val="18"/>
          <w:u w:val="single"/>
          <w:shd w:fill="auto" w:val="clear"/>
        </w:rPr>
        <w:t>artigo 7°, XXXIII, da Constituição</w:t>
      </w:r>
      <w:r>
        <w:rPr>
          <w:sz w:val="18"/>
          <w:u w:val="single"/>
          <w:shd w:fill="auto" w:val="clear"/>
          <w:szCs w:val="18"/>
          <w:rFonts w:eastAsia="Verdana" w:cs="Verdana" w:ascii="Verdana" w:hAnsi="Verdana"/>
          <w:color w:val="000000"/>
        </w:rPr>
        <w:fldChar w:fldCharType="end"/>
      </w:r>
      <w:r>
        <w:rPr>
          <w:rFonts w:eastAsia="Verdana" w:cs="Verdana" w:ascii="Verdana" w:hAnsi="Verdana"/>
          <w:color w:val="000000"/>
          <w:sz w:val="18"/>
          <w:szCs w:val="18"/>
          <w:shd w:fill="auto" w:val="clear"/>
        </w:rPr>
        <w:t>;</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pPr>
      <w:r>
        <w:rPr>
          <w:rFonts w:eastAsia="Verdana" w:cs="Verdana" w:ascii="Verdana" w:hAnsi="Verdana"/>
          <w:b/>
          <w:color w:val="000000"/>
          <w:sz w:val="18"/>
          <w:szCs w:val="18"/>
          <w:shd w:fill="auto" w:val="clear"/>
        </w:rPr>
        <w:t>3.2.3 -</w:t>
      </w:r>
      <w:r>
        <w:rPr>
          <w:rFonts w:eastAsia="Verdana" w:cs="Verdana" w:ascii="Verdana" w:hAnsi="Verdana"/>
          <w:color w:val="000000"/>
          <w:sz w:val="18"/>
          <w:szCs w:val="18"/>
          <w:shd w:fill="auto" w:val="clear"/>
        </w:rPr>
        <w:t xml:space="preserve"> Não possui, em sua cadeia produtiva, empregados executando trabalho degradante ou forçado, observando o disposto nos</w:t>
      </w:r>
      <w:hyperlink r:id="rId6">
        <w:r>
          <w:rPr>
            <w:rFonts w:eastAsia="Verdana" w:cs="Verdana" w:ascii="Verdana" w:hAnsi="Verdana"/>
            <w:color w:val="000000"/>
            <w:sz w:val="18"/>
            <w:szCs w:val="18"/>
            <w:shd w:fill="auto" w:val="clear"/>
          </w:rPr>
          <w:t xml:space="preserve"> </w:t>
        </w:r>
      </w:hyperlink>
      <w:hyperlink r:id="rId7">
        <w:r>
          <w:rPr>
            <w:rFonts w:eastAsia="Verdana" w:cs="Verdana" w:ascii="Verdana" w:hAnsi="Verdana"/>
            <w:color w:val="000000"/>
            <w:sz w:val="18"/>
            <w:szCs w:val="18"/>
            <w:u w:val="single"/>
            <w:shd w:fill="auto" w:val="clear"/>
          </w:rPr>
          <w:t>incisos III e IV do art. 1º e no inciso III do art. 5º da Constituição Federal</w:t>
        </w:r>
      </w:hyperlink>
      <w:r>
        <w:rPr>
          <w:rFonts w:eastAsia="Verdana" w:cs="Verdana" w:ascii="Verdana" w:hAnsi="Verdana"/>
          <w:color w:val="000000"/>
          <w:sz w:val="18"/>
          <w:szCs w:val="18"/>
          <w:shd w:fill="auto" w:val="clear"/>
        </w:rPr>
        <w:t>;</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3.2.4 -</w:t>
      </w:r>
      <w:r>
        <w:rPr>
          <w:rFonts w:eastAsia="Verdana" w:cs="Verdana" w:ascii="Verdana" w:hAnsi="Verdana"/>
          <w:color w:val="000000"/>
          <w:sz w:val="18"/>
          <w:szCs w:val="18"/>
          <w:shd w:fill="auto" w:val="clear"/>
        </w:rPr>
        <w:t xml:space="preserve"> Cumpre as exigências de reserva de cargos para pessoa com deficiência e para reabilitado da Previdência Social, previstas em lei e em outras normas específicas.</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pPr>
      <w:r>
        <w:rPr>
          <w:rFonts w:eastAsia="Verdana" w:cs="Verdana" w:ascii="Verdana" w:hAnsi="Verdana"/>
          <w:b/>
          <w:color w:val="000000"/>
          <w:sz w:val="18"/>
          <w:szCs w:val="18"/>
          <w:shd w:fill="auto" w:val="clear"/>
        </w:rPr>
        <w:t xml:space="preserve">3.3 - </w:t>
      </w:r>
      <w:r>
        <w:rPr>
          <w:rFonts w:eastAsia="Verdana" w:cs="Verdana" w:ascii="Verdana" w:hAnsi="Verdana"/>
          <w:color w:val="000000"/>
          <w:sz w:val="18"/>
          <w:szCs w:val="18"/>
          <w:shd w:fill="auto" w:val="clear"/>
        </w:rPr>
        <w:t>O licitante organizado em cooperativa deverá declarar, ainda, em campo próprio do sistema eletrônico, que cumpre os requisitos estabelecidos no</w:t>
      </w:r>
      <w:r>
        <w:fldChar w:fldCharType="begin"/>
      </w:r>
      <w:r>
        <w:rPr>
          <w:sz w:val="18"/>
          <w:shd w:fill="auto" w:val="clear"/>
          <w:szCs w:val="18"/>
          <w:rFonts w:eastAsia="Verdana" w:cs="Verdana" w:ascii="Verdana" w:hAnsi="Verdana"/>
          <w:color w:val="000000"/>
        </w:rPr>
        <w:instrText> HYPERLINK "http://www.planalto.gov.br/ccivil_03/_ato2019-2022/2021/lei/L14133.htm" \l "art16"</w:instrText>
      </w:r>
      <w:r>
        <w:rPr>
          <w:sz w:val="18"/>
          <w:shd w:fill="auto" w:val="clear"/>
          <w:szCs w:val="18"/>
          <w:rFonts w:eastAsia="Verdana" w:cs="Verdana" w:ascii="Verdana" w:hAnsi="Verdana"/>
          <w:color w:val="000000"/>
        </w:rPr>
        <w:fldChar w:fldCharType="separate"/>
      </w:r>
      <w:r>
        <w:rPr>
          <w:rFonts w:eastAsia="Verdana" w:cs="Verdana" w:ascii="Verdana" w:hAnsi="Verdana"/>
          <w:color w:val="000000"/>
          <w:sz w:val="18"/>
          <w:szCs w:val="18"/>
          <w:shd w:fill="auto" w:val="clear"/>
        </w:rPr>
        <w:t xml:space="preserve"> </w:t>
      </w:r>
      <w:r>
        <w:rPr>
          <w:sz w:val="18"/>
          <w:shd w:fill="auto" w:val="clear"/>
          <w:szCs w:val="18"/>
          <w:rFonts w:eastAsia="Verdana" w:cs="Verdana" w:ascii="Verdana" w:hAnsi="Verdana"/>
          <w:color w:val="000000"/>
        </w:rPr>
        <w:fldChar w:fldCharType="end"/>
      </w:r>
      <w:r>
        <w:fldChar w:fldCharType="begin"/>
      </w:r>
      <w:r>
        <w:rPr>
          <w:sz w:val="18"/>
          <w:u w:val="single"/>
          <w:shd w:fill="auto" w:val="clear"/>
          <w:szCs w:val="18"/>
          <w:rFonts w:eastAsia="Verdana" w:cs="Verdana" w:ascii="Verdana" w:hAnsi="Verdana"/>
          <w:color w:val="000000"/>
        </w:rPr>
        <w:instrText> HYPERLINK "http://www.planalto.gov.br/ccivil_03/_ato2019-2022/2021/lei/L14133.htm" \l "art16"</w:instrText>
      </w:r>
      <w:r>
        <w:rPr>
          <w:sz w:val="18"/>
          <w:u w:val="single"/>
          <w:shd w:fill="auto" w:val="clear"/>
          <w:szCs w:val="18"/>
          <w:rFonts w:eastAsia="Verdana" w:cs="Verdana" w:ascii="Verdana" w:hAnsi="Verdana"/>
          <w:color w:val="000000"/>
        </w:rPr>
        <w:fldChar w:fldCharType="separate"/>
      </w:r>
      <w:r>
        <w:rPr>
          <w:rFonts w:eastAsia="Verdana" w:cs="Verdana" w:ascii="Verdana" w:hAnsi="Verdana"/>
          <w:color w:val="000000"/>
          <w:sz w:val="18"/>
          <w:szCs w:val="18"/>
          <w:u w:val="single"/>
          <w:shd w:fill="auto" w:val="clear"/>
        </w:rPr>
        <w:t>artigo 16 da Lei nº 14.133, de 2021</w:t>
      </w:r>
      <w:r>
        <w:rPr>
          <w:sz w:val="18"/>
          <w:u w:val="single"/>
          <w:shd w:fill="auto" w:val="clear"/>
          <w:szCs w:val="18"/>
          <w:rFonts w:eastAsia="Verdana" w:cs="Verdana" w:ascii="Verdana" w:hAnsi="Verdana"/>
          <w:color w:val="000000"/>
        </w:rPr>
        <w:fldChar w:fldCharType="end"/>
      </w:r>
      <w:r>
        <w:rPr>
          <w:rFonts w:eastAsia="Verdana" w:cs="Verdana" w:ascii="Verdana" w:hAnsi="Verdana"/>
          <w:color w:val="000000"/>
          <w:sz w:val="18"/>
          <w:szCs w:val="18"/>
          <w:shd w:fill="auto" w:val="clear"/>
        </w:rPr>
        <w:t>.</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pPr>
      <w:r>
        <w:rPr>
          <w:rFonts w:eastAsia="Verdana" w:cs="Verdana" w:ascii="Verdana" w:hAnsi="Verdana"/>
          <w:b/>
          <w:color w:val="000000"/>
          <w:sz w:val="18"/>
          <w:szCs w:val="18"/>
          <w:shd w:fill="auto" w:val="clear"/>
        </w:rPr>
        <w:t xml:space="preserve">3.4 - </w:t>
      </w:r>
      <w:r>
        <w:rPr>
          <w:rFonts w:eastAsia="Verdana" w:cs="Verdana" w:ascii="Verdana" w:hAnsi="Verdana"/>
          <w:color w:val="000000"/>
          <w:sz w:val="18"/>
          <w:szCs w:val="18"/>
          <w:shd w:fill="auto" w:val="clear"/>
        </w:rPr>
        <w:t>O fornecedor enquadrado como microempresa, empresa de pequeno porte ou sociedade cooperativa deverá declarar, ainda, em campo próprio do sistema eletrônico, que cumpre os requisitos estabelecidos no</w:t>
      </w:r>
      <w:r>
        <w:fldChar w:fldCharType="begin"/>
      </w:r>
      <w:r>
        <w:rPr>
          <w:sz w:val="18"/>
          <w:shd w:fill="auto" w:val="clear"/>
          <w:szCs w:val="18"/>
          <w:rFonts w:eastAsia="Verdana" w:cs="Verdana" w:ascii="Verdana" w:hAnsi="Verdana"/>
          <w:color w:val="000000"/>
        </w:rPr>
        <w:instrText> HYPERLINK "https://www.planalto.gov.br/ccivil_03/leis/lcp/lcp123.htm" \l "art3"</w:instrText>
      </w:r>
      <w:r>
        <w:rPr>
          <w:sz w:val="18"/>
          <w:shd w:fill="auto" w:val="clear"/>
          <w:szCs w:val="18"/>
          <w:rFonts w:eastAsia="Verdana" w:cs="Verdana" w:ascii="Verdana" w:hAnsi="Verdana"/>
          <w:color w:val="000000"/>
        </w:rPr>
        <w:fldChar w:fldCharType="separate"/>
      </w:r>
      <w:r>
        <w:rPr>
          <w:rFonts w:eastAsia="Verdana" w:cs="Verdana" w:ascii="Verdana" w:hAnsi="Verdana"/>
          <w:color w:val="000000"/>
          <w:sz w:val="18"/>
          <w:szCs w:val="18"/>
          <w:shd w:fill="auto" w:val="clear"/>
        </w:rPr>
        <w:t xml:space="preserve"> </w:t>
      </w:r>
      <w:r>
        <w:rPr>
          <w:sz w:val="18"/>
          <w:shd w:fill="auto" w:val="clear"/>
          <w:szCs w:val="18"/>
          <w:rFonts w:eastAsia="Verdana" w:cs="Verdana" w:ascii="Verdana" w:hAnsi="Verdana"/>
          <w:color w:val="000000"/>
        </w:rPr>
        <w:fldChar w:fldCharType="end"/>
      </w:r>
      <w:r>
        <w:fldChar w:fldCharType="begin"/>
      </w:r>
      <w:r>
        <w:rPr>
          <w:sz w:val="18"/>
          <w:u w:val="single"/>
          <w:shd w:fill="auto" w:val="clear"/>
          <w:szCs w:val="18"/>
          <w:rFonts w:eastAsia="Verdana" w:cs="Verdana" w:ascii="Verdana" w:hAnsi="Verdana"/>
          <w:color w:val="000000"/>
        </w:rPr>
        <w:instrText> HYPERLINK "https://www.planalto.gov.br/ccivil_03/leis/lcp/lcp123.htm" \l "art3"</w:instrText>
      </w:r>
      <w:r>
        <w:rPr>
          <w:sz w:val="18"/>
          <w:u w:val="single"/>
          <w:shd w:fill="auto" w:val="clear"/>
          <w:szCs w:val="18"/>
          <w:rFonts w:eastAsia="Verdana" w:cs="Verdana" w:ascii="Verdana" w:hAnsi="Verdana"/>
          <w:color w:val="000000"/>
        </w:rPr>
        <w:fldChar w:fldCharType="separate"/>
      </w:r>
      <w:r>
        <w:rPr>
          <w:rFonts w:eastAsia="Verdana" w:cs="Verdana" w:ascii="Verdana" w:hAnsi="Verdana"/>
          <w:color w:val="000000"/>
          <w:sz w:val="18"/>
          <w:szCs w:val="18"/>
          <w:u w:val="single"/>
          <w:shd w:fill="auto" w:val="clear"/>
        </w:rPr>
        <w:t>artigo 3° da Lei Complementar nº 123, de 2006</w:t>
      </w:r>
      <w:r>
        <w:rPr>
          <w:sz w:val="18"/>
          <w:u w:val="single"/>
          <w:shd w:fill="auto" w:val="clear"/>
          <w:szCs w:val="18"/>
          <w:rFonts w:eastAsia="Verdana" w:cs="Verdana" w:ascii="Verdana" w:hAnsi="Verdana"/>
          <w:color w:val="000000"/>
        </w:rPr>
        <w:fldChar w:fldCharType="end"/>
      </w:r>
      <w:r>
        <w:rPr>
          <w:rFonts w:eastAsia="Verdana" w:cs="Verdana" w:ascii="Verdana" w:hAnsi="Verdana"/>
          <w:color w:val="000000"/>
          <w:sz w:val="18"/>
          <w:szCs w:val="18"/>
          <w:shd w:fill="auto" w:val="clear"/>
        </w:rPr>
        <w:t>, estando apto a usufruir do tratamento favorecido estabelecido em seus</w:t>
      </w:r>
      <w:r>
        <w:fldChar w:fldCharType="begin"/>
      </w:r>
      <w:r>
        <w:rPr>
          <w:sz w:val="18"/>
          <w:shd w:fill="auto" w:val="clear"/>
          <w:szCs w:val="18"/>
          <w:rFonts w:eastAsia="Verdana" w:cs="Verdana" w:ascii="Verdana" w:hAnsi="Verdana"/>
          <w:color w:val="000000"/>
        </w:rPr>
        <w:instrText> HYPERLINK "https://www.planalto.gov.br/ccivil_03/leis/lcp/lcp123.htm" \l "art42"</w:instrText>
      </w:r>
      <w:r>
        <w:rPr>
          <w:sz w:val="18"/>
          <w:shd w:fill="auto" w:val="clear"/>
          <w:szCs w:val="18"/>
          <w:rFonts w:eastAsia="Verdana" w:cs="Verdana" w:ascii="Verdana" w:hAnsi="Verdana"/>
          <w:color w:val="000000"/>
        </w:rPr>
        <w:fldChar w:fldCharType="separate"/>
      </w:r>
      <w:r>
        <w:rPr>
          <w:rFonts w:eastAsia="Verdana" w:cs="Verdana" w:ascii="Verdana" w:hAnsi="Verdana"/>
          <w:color w:val="000000"/>
          <w:sz w:val="18"/>
          <w:szCs w:val="18"/>
          <w:shd w:fill="auto" w:val="clear"/>
        </w:rPr>
        <w:t xml:space="preserve"> </w:t>
      </w:r>
      <w:r>
        <w:rPr>
          <w:sz w:val="18"/>
          <w:shd w:fill="auto" w:val="clear"/>
          <w:szCs w:val="18"/>
          <w:rFonts w:eastAsia="Verdana" w:cs="Verdana" w:ascii="Verdana" w:hAnsi="Verdana"/>
          <w:color w:val="000000"/>
        </w:rPr>
        <w:fldChar w:fldCharType="end"/>
      </w:r>
      <w:r>
        <w:fldChar w:fldCharType="begin"/>
      </w:r>
      <w:r>
        <w:rPr>
          <w:sz w:val="18"/>
          <w:u w:val="single"/>
          <w:shd w:fill="auto" w:val="clear"/>
          <w:szCs w:val="18"/>
          <w:rFonts w:eastAsia="Verdana" w:cs="Verdana" w:ascii="Verdana" w:hAnsi="Verdana"/>
          <w:color w:val="000000"/>
        </w:rPr>
        <w:instrText> HYPERLINK "https://www.planalto.gov.br/ccivil_03/leis/lcp/lcp123.htm" \l "art42"</w:instrText>
      </w:r>
      <w:r>
        <w:rPr>
          <w:sz w:val="18"/>
          <w:u w:val="single"/>
          <w:shd w:fill="auto" w:val="clear"/>
          <w:szCs w:val="18"/>
          <w:rFonts w:eastAsia="Verdana" w:cs="Verdana" w:ascii="Verdana" w:hAnsi="Verdana"/>
          <w:color w:val="000000"/>
        </w:rPr>
        <w:fldChar w:fldCharType="separate"/>
      </w:r>
      <w:r>
        <w:rPr>
          <w:rFonts w:eastAsia="Verdana" w:cs="Verdana" w:ascii="Verdana" w:hAnsi="Verdana"/>
          <w:color w:val="000000"/>
          <w:sz w:val="18"/>
          <w:szCs w:val="18"/>
          <w:u w:val="single"/>
          <w:shd w:fill="auto" w:val="clear"/>
        </w:rPr>
        <w:t>arts. 42 a 49</w:t>
      </w:r>
      <w:r>
        <w:rPr>
          <w:sz w:val="18"/>
          <w:u w:val="single"/>
          <w:shd w:fill="auto" w:val="clear"/>
          <w:szCs w:val="18"/>
          <w:rFonts w:eastAsia="Verdana" w:cs="Verdana" w:ascii="Verdana" w:hAnsi="Verdana"/>
          <w:color w:val="000000"/>
        </w:rPr>
        <w:fldChar w:fldCharType="end"/>
      </w:r>
      <w:r>
        <w:rPr>
          <w:rFonts w:eastAsia="Verdana" w:cs="Verdana" w:ascii="Verdana" w:hAnsi="Verdana"/>
          <w:color w:val="000000"/>
          <w:sz w:val="18"/>
          <w:szCs w:val="18"/>
          <w:shd w:fill="auto" w:val="clear"/>
        </w:rPr>
        <w:t>, observado o disposto nos</w:t>
      </w:r>
      <w:r>
        <w:fldChar w:fldCharType="begin"/>
      </w:r>
      <w:r>
        <w:rPr>
          <w:sz w:val="18"/>
          <w:shd w:fill="auto" w:val="clear"/>
          <w:szCs w:val="18"/>
          <w:rFonts w:eastAsia="Verdana" w:cs="Verdana" w:ascii="Verdana" w:hAnsi="Verdana"/>
          <w:color w:val="000000"/>
        </w:rPr>
        <w:instrText> HYPERLINK "http://www.planalto.gov.br/ccivil_03/_ato2019-2022/2021/lei/L14133.htm" \l "art4§1"</w:instrText>
      </w:r>
      <w:r>
        <w:rPr>
          <w:sz w:val="18"/>
          <w:shd w:fill="auto" w:val="clear"/>
          <w:szCs w:val="18"/>
          <w:rFonts w:eastAsia="Verdana" w:cs="Verdana" w:ascii="Verdana" w:hAnsi="Verdana"/>
          <w:color w:val="000000"/>
        </w:rPr>
        <w:fldChar w:fldCharType="separate"/>
      </w:r>
      <w:r>
        <w:rPr>
          <w:rFonts w:eastAsia="Verdana" w:cs="Verdana" w:ascii="Verdana" w:hAnsi="Verdana"/>
          <w:color w:val="000000"/>
          <w:sz w:val="18"/>
          <w:szCs w:val="18"/>
          <w:shd w:fill="auto" w:val="clear"/>
        </w:rPr>
        <w:t xml:space="preserve"> </w:t>
      </w:r>
      <w:r>
        <w:rPr>
          <w:sz w:val="18"/>
          <w:shd w:fill="auto" w:val="clear"/>
          <w:szCs w:val="18"/>
          <w:rFonts w:eastAsia="Verdana" w:cs="Verdana" w:ascii="Verdana" w:hAnsi="Verdana"/>
          <w:color w:val="000000"/>
        </w:rPr>
        <w:fldChar w:fldCharType="end"/>
      </w:r>
      <w:r>
        <w:fldChar w:fldCharType="begin"/>
      </w:r>
      <w:r>
        <w:rPr>
          <w:sz w:val="18"/>
          <w:u w:val="single"/>
          <w:shd w:fill="auto" w:val="clear"/>
          <w:szCs w:val="18"/>
          <w:rFonts w:eastAsia="Verdana" w:cs="Verdana" w:ascii="Verdana" w:hAnsi="Verdana"/>
          <w:color w:val="000000"/>
        </w:rPr>
        <w:instrText> HYPERLINK "http://www.planalto.gov.br/ccivil_03/_ato2019-2022/2021/lei/L14133.htm" \l "art4§1"</w:instrText>
      </w:r>
      <w:r>
        <w:rPr>
          <w:sz w:val="18"/>
          <w:u w:val="single"/>
          <w:shd w:fill="auto" w:val="clear"/>
          <w:szCs w:val="18"/>
          <w:rFonts w:eastAsia="Verdana" w:cs="Verdana" w:ascii="Verdana" w:hAnsi="Verdana"/>
          <w:color w:val="000000"/>
        </w:rPr>
        <w:fldChar w:fldCharType="separate"/>
      </w:r>
      <w:r>
        <w:rPr>
          <w:rFonts w:eastAsia="Verdana" w:cs="Verdana" w:ascii="Verdana" w:hAnsi="Verdana"/>
          <w:color w:val="000000"/>
          <w:sz w:val="18"/>
          <w:szCs w:val="18"/>
          <w:u w:val="single"/>
          <w:shd w:fill="auto" w:val="clear"/>
        </w:rPr>
        <w:t>§§ 1º ao 3º do art. 4º, da Lei n.º 14.133, de 2021.</w:t>
      </w:r>
      <w:r>
        <w:rPr>
          <w:sz w:val="18"/>
          <w:u w:val="single"/>
          <w:shd w:fill="auto" w:val="clear"/>
          <w:szCs w:val="18"/>
          <w:rFonts w:eastAsia="Verdana" w:cs="Verdana" w:ascii="Verdana" w:hAnsi="Verdana"/>
          <w:color w:val="000000"/>
        </w:rPr>
        <w:fldChar w:fldCharType="end"/>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ind w:left="284" w:hanging="0"/>
        <w:jc w:val="both"/>
        <w:rPr>
          <w:color w:val="auto"/>
          <w:shd w:fill="auto" w:val="clear"/>
        </w:rPr>
      </w:pPr>
      <w:r>
        <w:rPr>
          <w:rFonts w:eastAsia="Verdana" w:cs="Verdana" w:ascii="Verdana" w:hAnsi="Verdana"/>
          <w:b/>
          <w:color w:val="000000"/>
          <w:sz w:val="18"/>
          <w:szCs w:val="18"/>
          <w:shd w:fill="auto" w:val="clear"/>
        </w:rPr>
        <w:t>3.4.1 -</w:t>
      </w:r>
      <w:r>
        <w:rPr>
          <w:rFonts w:eastAsia="Verdana" w:cs="Verdana" w:ascii="Verdana" w:hAnsi="Verdana"/>
          <w:color w:val="000000"/>
          <w:sz w:val="18"/>
          <w:szCs w:val="18"/>
          <w:shd w:fill="auto" w:val="clear"/>
        </w:rPr>
        <w:t xml:space="preserve"> No item exclusivo para participação de microempresas e empresas de pequeno porte, a assinalação do campo “não”, impedirá o prosseguimento no certame, para aquele item;</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ind w:left="284" w:hanging="0"/>
        <w:jc w:val="both"/>
        <w:rPr/>
      </w:pPr>
      <w:r>
        <w:rPr>
          <w:rFonts w:eastAsia="Verdana" w:cs="Verdana" w:ascii="Verdana" w:hAnsi="Verdana"/>
          <w:b/>
          <w:color w:val="000000"/>
          <w:sz w:val="18"/>
          <w:szCs w:val="18"/>
          <w:shd w:fill="auto" w:val="clear"/>
        </w:rPr>
        <w:t xml:space="preserve">3.4.2 - </w:t>
      </w:r>
      <w:r>
        <w:rPr>
          <w:rFonts w:eastAsia="Verdana" w:cs="Verdana" w:ascii="Verdana" w:hAnsi="Verdana"/>
          <w:color w:val="000000"/>
          <w:sz w:val="18"/>
          <w:szCs w:val="18"/>
          <w:shd w:fill="auto" w:val="clear"/>
        </w:rPr>
        <w:t>Nos itens em que a participação não for exclusiva para microempresas e empresas de pequeno porte, a assinalação do campo “não” apenas produzirá o efeito de o licitante não ter direito ao tratamento favorecido previsto na</w:t>
      </w:r>
      <w:hyperlink r:id="rId8">
        <w:r>
          <w:rPr>
            <w:rFonts w:eastAsia="Verdana" w:cs="Verdana" w:ascii="Verdana" w:hAnsi="Verdana"/>
            <w:color w:val="000000"/>
            <w:sz w:val="18"/>
            <w:szCs w:val="18"/>
            <w:shd w:fill="auto" w:val="clear"/>
          </w:rPr>
          <w:t xml:space="preserve"> </w:t>
        </w:r>
      </w:hyperlink>
      <w:hyperlink r:id="rId9">
        <w:r>
          <w:rPr>
            <w:rFonts w:eastAsia="Verdana" w:cs="Verdana" w:ascii="Verdana" w:hAnsi="Verdana"/>
            <w:color w:val="000000"/>
            <w:sz w:val="18"/>
            <w:szCs w:val="18"/>
            <w:u w:val="single"/>
            <w:shd w:fill="auto" w:val="clear"/>
          </w:rPr>
          <w:t>Lei Complementar nº 123, de 2006</w:t>
        </w:r>
      </w:hyperlink>
      <w:r>
        <w:rPr>
          <w:rFonts w:eastAsia="Verdana" w:cs="Verdana" w:ascii="Verdana" w:hAnsi="Verdana"/>
          <w:color w:val="000000"/>
          <w:sz w:val="18"/>
          <w:szCs w:val="18"/>
          <w:shd w:fill="auto" w:val="clear"/>
        </w:rPr>
        <w:t xml:space="preserve">, mesmo que microempresa, empresa de pequeno porte ou sociedade cooperativa. </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pPr>
      <w:r>
        <w:rPr>
          <w:rFonts w:eastAsia="Verdana" w:cs="Verdana" w:ascii="Verdana" w:hAnsi="Verdana"/>
          <w:b/>
          <w:color w:val="000000"/>
          <w:sz w:val="18"/>
          <w:szCs w:val="18"/>
          <w:shd w:fill="auto" w:val="clear"/>
        </w:rPr>
        <w:t xml:space="preserve">3.5 - </w:t>
      </w:r>
      <w:r>
        <w:rPr>
          <w:rFonts w:eastAsia="Verdana" w:cs="Verdana" w:ascii="Verdana" w:hAnsi="Verdana"/>
          <w:color w:val="000000"/>
          <w:sz w:val="18"/>
          <w:szCs w:val="18"/>
          <w:shd w:fill="auto" w:val="clear"/>
        </w:rPr>
        <w:t>A falsidade da declaração de que trata os itens 3.2 ou 3.4 sujeitará o licitante às sanções previstas na</w:t>
      </w:r>
      <w:hyperlink r:id="rId10">
        <w:r>
          <w:rPr>
            <w:rFonts w:eastAsia="Verdana" w:cs="Verdana" w:ascii="Verdana" w:hAnsi="Verdana"/>
            <w:color w:val="000000"/>
            <w:sz w:val="18"/>
            <w:szCs w:val="18"/>
            <w:shd w:fill="auto" w:val="clear"/>
          </w:rPr>
          <w:t xml:space="preserve"> </w:t>
        </w:r>
      </w:hyperlink>
      <w:hyperlink r:id="rId11">
        <w:r>
          <w:rPr>
            <w:rFonts w:eastAsia="Verdana" w:cs="Verdana" w:ascii="Verdana" w:hAnsi="Verdana"/>
            <w:color w:val="000000"/>
            <w:sz w:val="18"/>
            <w:szCs w:val="18"/>
            <w:u w:val="single"/>
            <w:shd w:fill="auto" w:val="clear"/>
          </w:rPr>
          <w:t>Lei nº 14.133, de 2021</w:t>
        </w:r>
      </w:hyperlink>
      <w:r>
        <w:rPr>
          <w:rFonts w:eastAsia="Verdana" w:cs="Verdana" w:ascii="Verdana" w:hAnsi="Verdana"/>
          <w:color w:val="000000"/>
          <w:sz w:val="18"/>
          <w:szCs w:val="18"/>
          <w:shd w:fill="auto" w:val="clear"/>
        </w:rPr>
        <w:t>, e neste Edital.</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3.6 -</w:t>
      </w:r>
      <w:r>
        <w:rPr>
          <w:rFonts w:eastAsia="Verdana" w:cs="Verdana" w:ascii="Verdana" w:hAnsi="Verdana"/>
          <w:color w:val="000000"/>
          <w:sz w:val="18"/>
          <w:szCs w:val="18"/>
          <w:shd w:fill="auto" w:val="clear"/>
        </w:rPr>
        <w:t xml:space="preserve"> Os licitantes poderão retirar ou substituir a proposta até a abertura da sessão pública.</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 xml:space="preserve">3.7 - </w:t>
      </w:r>
      <w:r>
        <w:rPr>
          <w:rFonts w:eastAsia="Verdana" w:cs="Verdana" w:ascii="Verdana" w:hAnsi="Verdana"/>
          <w:color w:val="000000"/>
          <w:sz w:val="18"/>
          <w:szCs w:val="18"/>
          <w:shd w:fill="auto" w:val="clear"/>
        </w:rPr>
        <w:t>Não haverá ordem de classificação na etapa de apresentação da proposta e dos documentos de habilitação pelo licitante, o que ocorrerá somente após os procedimentos de abertura da sessão pública e da fase de envio de lances.</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3.8 -</w:t>
      </w:r>
      <w:r>
        <w:rPr>
          <w:rFonts w:eastAsia="Verdana" w:cs="Verdana" w:ascii="Verdana" w:hAnsi="Verdana"/>
          <w:color w:val="000000"/>
          <w:sz w:val="18"/>
          <w:szCs w:val="18"/>
          <w:shd w:fill="auto" w:val="clear"/>
        </w:rPr>
        <w:t xml:space="preserve"> Serão disponibilizados para acesso público os documentos que compõem a proposta dos licitantes convocados para apresentação de propostas, após a fase de envio de lances. </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280" w:after="280"/>
        <w:jc w:val="both"/>
        <w:rPr>
          <w:color w:val="auto"/>
          <w:shd w:fill="auto" w:val="clear"/>
        </w:rPr>
      </w:pPr>
      <w:r>
        <w:rPr>
          <w:rFonts w:eastAsia="Verdana" w:cs="Verdana" w:ascii="Verdana" w:hAnsi="Verdana"/>
          <w:b/>
          <w:color w:val="000000"/>
          <w:sz w:val="18"/>
          <w:szCs w:val="18"/>
          <w:shd w:fill="auto" w:val="clear"/>
        </w:rPr>
        <w:t xml:space="preserve">3.9 </w:t>
      </w:r>
      <w:r>
        <w:rPr>
          <w:rFonts w:eastAsia="Verdana" w:cs="Verdana" w:ascii="Verdana" w:hAnsi="Verdana"/>
          <w:color w:val="000000"/>
          <w:sz w:val="18"/>
          <w:szCs w:val="18"/>
          <w:shd w:fill="auto" w:val="clear"/>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3.10 </w:t>
      </w:r>
      <w:r>
        <w:rPr>
          <w:rFonts w:eastAsia="Verdana" w:cs="Verdana" w:ascii="Verdana" w:hAnsi="Verdana"/>
          <w:color w:val="000000"/>
          <w:sz w:val="18"/>
          <w:szCs w:val="18"/>
          <w:shd w:fill="auto" w:val="clear"/>
        </w:rPr>
        <w:t>- O licitante deverá comunicar imediatamente ao provedor do sistema qualquer acontecimento que possa comprometer o sigilo ou a segurança, para imediato bloqueio de acesso.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Arial" w:hAnsi="Arial" w:eastAsia="Arial" w:cs="Arial"/>
          <w:color w:val="auto"/>
          <w:sz w:val="24"/>
          <w:szCs w:val="24"/>
          <w:shd w:fill="auto" w:val="clear"/>
        </w:rPr>
      </w:pPr>
      <w:r>
        <w:rPr>
          <w:rFonts w:eastAsia="Arial" w:cs="Arial" w:ascii="Arial" w:hAnsi="Arial"/>
          <w:color w:val="000000"/>
          <w:sz w:val="24"/>
          <w:szCs w:val="24"/>
          <w:shd w:fill="auto" w:val="clear"/>
        </w:rPr>
      </w:r>
    </w:p>
    <w:p>
      <w:pPr>
        <w:pStyle w:val="Normal1"/>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4 - DO PREENCHIMENTO DA PROPOSTA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Arial" w:hAnsi="Arial" w:eastAsia="Arial" w:cs="Arial"/>
          <w:color w:val="auto"/>
          <w:sz w:val="24"/>
          <w:szCs w:val="24"/>
          <w:shd w:fill="auto" w:val="clear"/>
        </w:rPr>
      </w:pPr>
      <w:r>
        <w:rPr>
          <w:rFonts w:eastAsia="Arial" w:cs="Arial" w:ascii="Arial" w:hAnsi="Arial"/>
          <w:color w:val="000000"/>
          <w:sz w:val="24"/>
          <w:szCs w:val="24"/>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4.1 -</w:t>
      </w:r>
      <w:r>
        <w:rPr>
          <w:rFonts w:eastAsia="Verdana" w:cs="Verdana" w:ascii="Verdana" w:hAnsi="Verdana"/>
          <w:color w:val="000000"/>
          <w:sz w:val="18"/>
          <w:szCs w:val="18"/>
          <w:shd w:fill="auto" w:val="clear"/>
        </w:rPr>
        <w:t xml:space="preserve"> Os licitantes encaminharão, exclusivamente por meio do sistema eletrônico, a proposta </w:t>
      </w:r>
      <w:r>
        <w:rPr>
          <w:rFonts w:eastAsia="Verdana" w:cs="Verdana" w:ascii="Verdana" w:hAnsi="Verdana"/>
          <w:b/>
          <w:color w:val="000000"/>
          <w:sz w:val="18"/>
          <w:szCs w:val="18"/>
          <w:shd w:fill="auto" w:val="clear"/>
        </w:rPr>
        <w:t>COM O VALOR UNITÁRIO DO ITEM, até a data e o horário estabelecidos para abertura da sessão pública.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color w:val="000000"/>
          <w:sz w:val="18"/>
          <w:szCs w:val="18"/>
          <w:shd w:fill="auto" w:val="clear"/>
        </w:rPr>
        <w:tab/>
      </w:r>
    </w:p>
    <w:p>
      <w:pPr>
        <w:pStyle w:val="Normal1"/>
        <w:jc w:val="both"/>
        <w:rPr>
          <w:color w:val="auto"/>
          <w:shd w:fill="auto" w:val="clear"/>
        </w:rPr>
      </w:pPr>
      <w:r>
        <w:rPr>
          <w:rFonts w:eastAsia="Verdana" w:cs="Verdana" w:ascii="Verdana" w:hAnsi="Verdana"/>
          <w:b/>
          <w:color w:val="000000"/>
          <w:sz w:val="18"/>
          <w:szCs w:val="18"/>
          <w:shd w:fill="auto" w:val="clear"/>
        </w:rPr>
        <w:t>4.2 -</w:t>
      </w:r>
      <w:r>
        <w:rPr>
          <w:rFonts w:eastAsia="Verdana" w:cs="Verdana" w:ascii="Verdana" w:hAnsi="Verdana"/>
          <w:color w:val="000000"/>
          <w:sz w:val="18"/>
          <w:szCs w:val="18"/>
          <w:shd w:fill="auto" w:val="clear"/>
        </w:rPr>
        <w:t xml:space="preserve"> A proposta comercial, com valores monetários em reais, deverá respeitar as especificações constantes do </w:t>
      </w:r>
      <w:r>
        <w:rPr>
          <w:rFonts w:eastAsia="Verdana" w:cs="Verdana" w:ascii="Verdana" w:hAnsi="Verdana"/>
          <w:b/>
          <w:color w:val="000000"/>
          <w:sz w:val="18"/>
          <w:szCs w:val="18"/>
          <w:shd w:fill="auto" w:val="clear"/>
        </w:rPr>
        <w:t>Anexo I</w:t>
      </w:r>
      <w:r>
        <w:rPr>
          <w:rFonts w:eastAsia="Verdana" w:cs="Verdana" w:ascii="Verdana" w:hAnsi="Verdana"/>
          <w:color w:val="000000"/>
          <w:sz w:val="18"/>
          <w:szCs w:val="18"/>
          <w:shd w:fill="auto" w:val="clear"/>
        </w:rPr>
        <w:t>;</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color w:val="auto"/>
          <w:shd w:fill="auto" w:val="clear"/>
        </w:rPr>
      </w:pPr>
      <w:r>
        <w:rPr>
          <w:rFonts w:eastAsia="Verdana" w:cs="Verdana" w:ascii="Verdana" w:hAnsi="Verdana"/>
          <w:b/>
          <w:color w:val="000000"/>
          <w:sz w:val="18"/>
          <w:szCs w:val="18"/>
          <w:shd w:fill="auto" w:val="clear"/>
        </w:rPr>
        <w:t>4.2.1 - O valor total máximo unitário a ser pago pelo ITEM será de:</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color w:val="auto"/>
          <w:shd w:fill="auto" w:val="clear"/>
        </w:rPr>
      </w:pPr>
      <w:r>
        <w:rPr>
          <w:rFonts w:eastAsia="Verdana" w:cs="Verdana" w:ascii="Verdana" w:hAnsi="Verdana"/>
          <w:b/>
          <w:color w:val="000000"/>
          <w:sz w:val="18"/>
          <w:szCs w:val="18"/>
          <w:shd w:fill="auto" w:val="clear"/>
        </w:rPr>
        <w:t>ITEM 01 - R$1.009,54 (hum mil e nove reais e cinquenta e quatro centavos)</w:t>
      </w:r>
    </w:p>
    <w:p>
      <w:pPr>
        <w:pStyle w:val="Normal1"/>
        <w:ind w:left="0"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0" w:hanging="0"/>
        <w:jc w:val="both"/>
        <w:rPr>
          <w:color w:val="auto"/>
          <w:shd w:fill="auto" w:val="clear"/>
        </w:rPr>
      </w:pPr>
      <w:r>
        <w:rPr>
          <w:rFonts w:eastAsia="Verdana" w:cs="Verdana" w:ascii="Verdana" w:hAnsi="Verdana"/>
          <w:b/>
          <w:color w:val="000000"/>
          <w:sz w:val="18"/>
          <w:szCs w:val="18"/>
          <w:shd w:fill="auto" w:val="clear"/>
        </w:rPr>
        <w:t>4.2.2 - O valor total estimado da contratação é de R$50.477,00 (cinquenta mil, quatrocentos e setenta e sete reais).</w:t>
      </w:r>
    </w:p>
    <w:p>
      <w:pPr>
        <w:pStyle w:val="Normal1"/>
        <w:ind w:left="0"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ind w:left="0" w:hanging="0"/>
        <w:jc w:val="both"/>
        <w:rPr>
          <w:color w:val="auto"/>
          <w:shd w:fill="auto" w:val="clear"/>
        </w:rPr>
      </w:pPr>
      <w:r>
        <w:rPr>
          <w:rFonts w:eastAsia="Verdana" w:cs="Verdana" w:ascii="Verdana" w:hAnsi="Verdana"/>
          <w:b/>
          <w:color w:val="000000"/>
          <w:sz w:val="18"/>
          <w:szCs w:val="18"/>
          <w:shd w:fill="auto" w:val="clear"/>
        </w:rPr>
        <w:t xml:space="preserve">4.2.3 - Havendo divergências entre as especificações do código CATSER e as do Edital, prevalecerão as do Edital. </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4.3 - A proposta somente poderá conter duas casas decimais e </w:t>
      </w:r>
      <w:r>
        <w:rPr>
          <w:rFonts w:eastAsia="Verdana" w:cs="Verdana" w:ascii="Verdana" w:hAnsi="Verdana"/>
          <w:b/>
          <w:color w:val="000000"/>
          <w:sz w:val="18"/>
          <w:szCs w:val="18"/>
          <w:u w:val="single"/>
          <w:shd w:fill="auto" w:val="clear"/>
        </w:rPr>
        <w:t>será feito arredondamento para menos caso seja vencedora uma proposta com mais casas decimais.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strike/>
          <w:color w:val="auto"/>
          <w:sz w:val="18"/>
          <w:szCs w:val="18"/>
          <w:shd w:fill="auto" w:val="clear"/>
        </w:rPr>
      </w:pPr>
      <w:r>
        <w:rPr>
          <w:rFonts w:eastAsia="Verdana" w:cs="Verdana" w:ascii="Verdana" w:hAnsi="Verdana"/>
          <w:strike/>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4.4 - </w:t>
      </w:r>
      <w:r>
        <w:rPr>
          <w:rFonts w:eastAsia="Verdana" w:cs="Verdana" w:ascii="Verdana" w:hAnsi="Verdana"/>
          <w:color w:val="000000"/>
          <w:sz w:val="18"/>
          <w:szCs w:val="18"/>
          <w:shd w:fill="auto" w:val="clear"/>
        </w:rPr>
        <w:t>Todas as especificações do objeto contidas na proposta vinculam o licitante.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4.5 -</w:t>
      </w:r>
      <w:r>
        <w:rPr>
          <w:rFonts w:eastAsia="Verdana" w:cs="Verdana" w:ascii="Verdana" w:hAnsi="Verdana"/>
          <w:color w:val="000000"/>
          <w:sz w:val="18"/>
          <w:szCs w:val="18"/>
          <w:shd w:fill="auto" w:val="clear"/>
        </w:rPr>
        <w:t xml:space="preserve"> Nos valores propostos estarão inclusos todos os custos operacionais, encargos previdenciários, trabalhistas, tributários, comerciais e quaisquer outros que incidam direta ou indiretamente na execução do objeto.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4.6 - </w:t>
      </w:r>
      <w:r>
        <w:rPr>
          <w:rFonts w:eastAsia="Verdana" w:cs="Verdana" w:ascii="Verdana" w:hAnsi="Verdana"/>
          <w:color w:val="000000"/>
          <w:sz w:val="18"/>
          <w:szCs w:val="18"/>
          <w:shd w:fill="auto" w:val="clea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4.7 - </w:t>
      </w:r>
      <w:r>
        <w:rPr>
          <w:rFonts w:eastAsia="Verdana" w:cs="Verdana" w:ascii="Verdana" w:hAnsi="Verdana"/>
          <w:color w:val="000000"/>
          <w:sz w:val="18"/>
          <w:szCs w:val="18"/>
          <w:shd w:fill="auto" w:val="clear"/>
        </w:rPr>
        <w:t xml:space="preserve">A apresentação da proposta implica na </w:t>
      </w:r>
      <w:r>
        <w:rPr>
          <w:rFonts w:eastAsia="Verdana" w:cs="Verdana" w:ascii="Verdana" w:hAnsi="Verdana"/>
          <w:b/>
          <w:color w:val="000000"/>
          <w:sz w:val="18"/>
          <w:szCs w:val="18"/>
          <w:shd w:fill="auto" w:val="clear"/>
        </w:rPr>
        <w:t xml:space="preserve">aceitação de todas as condições </w:t>
      </w:r>
      <w:r>
        <w:rPr>
          <w:rFonts w:eastAsia="Verdana" w:cs="Verdana" w:ascii="Verdana" w:hAnsi="Verdana"/>
          <w:color w:val="000000"/>
          <w:sz w:val="18"/>
          <w:szCs w:val="18"/>
          <w:shd w:fill="auto" w:val="clear"/>
        </w:rPr>
        <w:t>deste edital, em especial: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a) Validade da proposta</w:t>
      </w:r>
      <w:r>
        <w:rPr>
          <w:rFonts w:eastAsia="Verdana" w:cs="Verdana" w:ascii="Verdana" w:hAnsi="Verdana"/>
          <w:color w:val="000000"/>
          <w:sz w:val="18"/>
          <w:szCs w:val="18"/>
          <w:shd w:fill="auto" w:val="clear"/>
        </w:rPr>
        <w:t xml:space="preserve">, que não poderá ser inferior a </w:t>
      </w:r>
      <w:r>
        <w:rPr>
          <w:rFonts w:eastAsia="Verdana" w:cs="Verdana" w:ascii="Verdana" w:hAnsi="Verdana"/>
          <w:b/>
          <w:color w:val="000000"/>
          <w:sz w:val="18"/>
          <w:szCs w:val="18"/>
          <w:shd w:fill="auto" w:val="clear"/>
        </w:rPr>
        <w:t xml:space="preserve">90 (noventa) </w:t>
      </w:r>
      <w:r>
        <w:rPr>
          <w:rFonts w:eastAsia="Verdana" w:cs="Verdana" w:ascii="Verdana" w:hAnsi="Verdana"/>
          <w:color w:val="000000"/>
          <w:sz w:val="18"/>
          <w:szCs w:val="18"/>
          <w:shd w:fill="auto" w:val="clear"/>
        </w:rPr>
        <w:t>dias a serem contados da data da efetiva abertura das propostas;</w:t>
      </w:r>
    </w:p>
    <w:p>
      <w:pPr>
        <w:pStyle w:val="Normal1"/>
        <w:pBdr/>
        <w:jc w:val="both"/>
        <w:rPr>
          <w:color w:val="auto"/>
          <w:shd w:fill="auto" w:val="clear"/>
        </w:rPr>
      </w:pPr>
      <w:r>
        <w:rPr>
          <w:rFonts w:eastAsia="Verdana" w:cs="Verdana" w:ascii="Verdana" w:hAnsi="Verdana"/>
          <w:b/>
          <w:color w:val="000000"/>
          <w:sz w:val="18"/>
          <w:szCs w:val="18"/>
          <w:shd w:fill="auto" w:val="clear"/>
        </w:rPr>
        <w:t>b)</w:t>
      </w:r>
      <w:r>
        <w:rPr>
          <w:rFonts w:eastAsia="Verdana" w:cs="Verdana" w:ascii="Verdana" w:hAnsi="Verdana"/>
          <w:color w:val="000000"/>
          <w:sz w:val="18"/>
          <w:szCs w:val="18"/>
          <w:shd w:fill="auto" w:val="clear"/>
        </w:rPr>
        <w:t xml:space="preserve"> O objeto deverá estar em conformidade com as especificações constantes do </w:t>
      </w:r>
      <w:r>
        <w:rPr>
          <w:rFonts w:eastAsia="Verdana" w:cs="Verdana" w:ascii="Verdana" w:hAnsi="Verdana"/>
          <w:b/>
          <w:color w:val="000000"/>
          <w:sz w:val="18"/>
          <w:szCs w:val="18"/>
          <w:shd w:fill="auto" w:val="clear"/>
        </w:rPr>
        <w:t xml:space="preserve">Anexo I, incluídos nos preços propostos </w:t>
      </w:r>
      <w:r>
        <w:rPr>
          <w:rFonts w:eastAsia="Verdana" w:cs="Verdana" w:ascii="Verdana" w:hAnsi="Verdana"/>
          <w:color w:val="000000"/>
          <w:sz w:val="18"/>
          <w:szCs w:val="18"/>
          <w:shd w:fill="auto" w:val="clear"/>
        </w:rPr>
        <w:t>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pPr>
        <w:pStyle w:val="Normal1"/>
        <w:pBdr/>
        <w:jc w:val="both"/>
        <w:rPr>
          <w:color w:val="auto"/>
          <w:shd w:fill="auto" w:val="clear"/>
        </w:rPr>
      </w:pPr>
      <w:r>
        <w:rPr>
          <w:rFonts w:eastAsia="Verdana" w:cs="Verdana" w:ascii="Verdana" w:hAnsi="Verdana"/>
          <w:b/>
          <w:color w:val="000000"/>
          <w:sz w:val="18"/>
          <w:szCs w:val="18"/>
          <w:shd w:fill="auto" w:val="clear"/>
        </w:rPr>
        <w:t>c)</w:t>
      </w:r>
      <w:r>
        <w:rPr>
          <w:rFonts w:eastAsia="Verdana" w:cs="Verdana" w:ascii="Verdana" w:hAnsi="Verdana"/>
          <w:color w:val="000000"/>
          <w:sz w:val="18"/>
          <w:szCs w:val="18"/>
          <w:shd w:fill="auto" w:val="clear"/>
        </w:rPr>
        <w:t xml:space="preserve"> Os requisitos de entrega e prazos de execução estão previstos no Termo de Referência - Anexo I deste Edital;</w:t>
      </w:r>
    </w:p>
    <w:p>
      <w:pPr>
        <w:pStyle w:val="Normal1"/>
        <w:pBdr/>
        <w:jc w:val="both"/>
        <w:rPr>
          <w:color w:val="auto"/>
          <w:shd w:fill="auto" w:val="clear"/>
        </w:rPr>
      </w:pPr>
      <w:r>
        <w:rPr>
          <w:rFonts w:eastAsia="Verdana" w:cs="Verdana" w:ascii="Verdana" w:hAnsi="Verdana"/>
          <w:b/>
          <w:color w:val="000000"/>
          <w:sz w:val="18"/>
          <w:szCs w:val="18"/>
          <w:shd w:fill="auto" w:val="clear"/>
        </w:rPr>
        <w:t xml:space="preserve">d) </w:t>
      </w:r>
      <w:r>
        <w:rPr>
          <w:rFonts w:eastAsia="Verdana" w:cs="Verdana" w:ascii="Verdana" w:hAnsi="Verdana"/>
          <w:color w:val="000000"/>
          <w:sz w:val="18"/>
          <w:szCs w:val="18"/>
          <w:shd w:fill="auto" w:val="clear"/>
        </w:rPr>
        <w:t xml:space="preserve"> O material deverá ser entregue em conformidade com as especificações constantes do Termo de Referência e, devidamente embalado e individualizado, sem avarias, constando em sua embalagem informações precisas, corretas, claras, em língua portuguesa, sobre o produto e suas características, como por exemplo: qualidade, quantidade, peso, composição, garantia, prazo de validade, e demais informações que se fizerem necessárias para atestar a conformidade do produto adquirido com o solicitado;</w:t>
      </w:r>
    </w:p>
    <w:p>
      <w:pPr>
        <w:pStyle w:val="Normal1"/>
        <w:pBdr/>
        <w:jc w:val="both"/>
        <w:rPr>
          <w:color w:val="auto"/>
          <w:shd w:fill="auto" w:val="clear"/>
        </w:rPr>
      </w:pPr>
      <w:r>
        <w:rPr>
          <w:rFonts w:eastAsia="Verdana" w:cs="Verdana" w:ascii="Verdana" w:hAnsi="Verdana"/>
          <w:b/>
          <w:color w:val="000000"/>
          <w:sz w:val="18"/>
          <w:szCs w:val="18"/>
          <w:shd w:fill="auto" w:val="clear"/>
        </w:rPr>
        <w:t xml:space="preserve">e) </w:t>
      </w:r>
      <w:r>
        <w:rPr>
          <w:rFonts w:eastAsia="Verdana" w:cs="Verdana" w:ascii="Verdana" w:hAnsi="Verdana"/>
          <w:color w:val="000000"/>
          <w:sz w:val="18"/>
          <w:szCs w:val="18"/>
          <w:shd w:fill="auto" w:val="clear"/>
        </w:rPr>
        <w:t xml:space="preserve">Os materiais solicitados deverão ser entregues: </w:t>
      </w:r>
      <w:r>
        <w:rPr>
          <w:rFonts w:eastAsia="Verdana" w:cs="Verdana" w:ascii="Verdana" w:hAnsi="Verdana"/>
          <w:b/>
          <w:color w:val="000000"/>
          <w:sz w:val="18"/>
          <w:szCs w:val="18"/>
          <w:u w:val="single"/>
          <w:shd w:fill="auto" w:val="clear"/>
        </w:rPr>
        <w:t>GALPÃO</w:t>
      </w:r>
      <w:r>
        <w:rPr>
          <w:rFonts w:eastAsia="Verdana" w:cs="Verdana" w:ascii="Verdana" w:hAnsi="Verdana"/>
          <w:color w:val="000000"/>
          <w:sz w:val="18"/>
          <w:szCs w:val="18"/>
          <w:shd w:fill="auto" w:val="clear"/>
        </w:rPr>
        <w:t xml:space="preserve"> – </w:t>
      </w:r>
      <w:r>
        <w:rPr>
          <w:rFonts w:eastAsia="Verdana" w:cs="Verdana" w:ascii="Verdana" w:hAnsi="Verdana"/>
          <w:b/>
          <w:color w:val="000000"/>
          <w:sz w:val="18"/>
          <w:szCs w:val="18"/>
          <w:shd w:fill="auto" w:val="clear"/>
        </w:rPr>
        <w:t xml:space="preserve">Patrimônio do TJES: </w:t>
      </w:r>
      <w:r>
        <w:rPr>
          <w:rFonts w:eastAsia="Verdana" w:cs="Verdana" w:ascii="Verdana" w:hAnsi="Verdana"/>
          <w:color w:val="000000"/>
          <w:sz w:val="18"/>
          <w:szCs w:val="18"/>
          <w:shd w:fill="auto" w:val="clear"/>
        </w:rPr>
        <w:t>localizado na Rodovia ES 010, Km 4, Jardim Limoeiro, Serra/ES (ponto de referência: em frente ao Cerimonial Steffen);</w:t>
      </w:r>
      <w:r>
        <w:rPr>
          <w:rFonts w:eastAsia="Verdana" w:cs="Verdana" w:ascii="Verdana" w:hAnsi="Verdana"/>
          <w:b/>
          <w:color w:val="000000"/>
          <w:sz w:val="18"/>
          <w:szCs w:val="18"/>
          <w:shd w:fill="auto" w:val="clear"/>
        </w:rPr>
        <w:t>7.1.2.</w:t>
      </w:r>
      <w:r>
        <w:rPr>
          <w:rFonts w:eastAsia="Verdana" w:cs="Verdana" w:ascii="Verdana" w:hAnsi="Verdana"/>
          <w:color w:val="000000"/>
          <w:sz w:val="18"/>
          <w:szCs w:val="18"/>
          <w:shd w:fill="auto" w:val="clear"/>
        </w:rPr>
        <w:t xml:space="preserve"> </w:t>
      </w:r>
      <w:r>
        <w:rPr>
          <w:rFonts w:eastAsia="Verdana" w:cs="Verdana" w:ascii="Verdana" w:hAnsi="Verdana"/>
          <w:b/>
          <w:color w:val="000000"/>
          <w:sz w:val="18"/>
          <w:szCs w:val="18"/>
          <w:u w:val="single"/>
          <w:shd w:fill="auto" w:val="clear"/>
        </w:rPr>
        <w:t>GRANDE VITÓRIA</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endereços diversos dos municípios da Grande Vitória, que serão informados pelo Gestor da Ata na Ordem de Entrega, em dias úteis (segunda a sexta-feira, exceto feriados) e horário funcional (12:00h às 18:00h);</w:t>
      </w:r>
    </w:p>
    <w:p>
      <w:pPr>
        <w:pStyle w:val="Normal1"/>
        <w:pBdr/>
        <w:jc w:val="both"/>
        <w:rPr>
          <w:color w:val="auto"/>
          <w:shd w:fill="auto" w:val="clear"/>
        </w:rPr>
      </w:pPr>
      <w:r>
        <w:rPr>
          <w:rFonts w:eastAsia="Verdana" w:cs="Verdana" w:ascii="Verdana" w:hAnsi="Verdana"/>
          <w:b/>
          <w:color w:val="000000"/>
          <w:sz w:val="18"/>
          <w:szCs w:val="18"/>
          <w:shd w:fill="auto" w:val="clear"/>
        </w:rPr>
        <w:t xml:space="preserve">f) </w:t>
      </w:r>
      <w:r>
        <w:rPr>
          <w:rFonts w:eastAsia="Verdana" w:cs="Verdana" w:ascii="Verdana" w:hAnsi="Verdana"/>
          <w:color w:val="000000"/>
          <w:sz w:val="18"/>
          <w:szCs w:val="18"/>
          <w:shd w:fill="auto" w:val="clear"/>
        </w:rPr>
        <w:t xml:space="preserve">O prazo para a entrega do material solicitado será de, no máximo, </w:t>
      </w:r>
      <w:r>
        <w:rPr>
          <w:rFonts w:eastAsia="Verdana" w:cs="Verdana" w:ascii="Verdana" w:hAnsi="Verdana"/>
          <w:b/>
          <w:color w:val="000000"/>
          <w:sz w:val="18"/>
          <w:szCs w:val="18"/>
          <w:shd w:fill="auto" w:val="clear"/>
        </w:rPr>
        <w:t>30 (trinta) dias corridos, a contar do 1º dia útil subsequente à data de recebimento da ordem de entrega,</w:t>
      </w:r>
      <w:r>
        <w:rPr>
          <w:rFonts w:eastAsia="Verdana" w:cs="Verdana" w:ascii="Verdana" w:hAnsi="Verdana"/>
          <w:color w:val="000000"/>
          <w:sz w:val="18"/>
          <w:szCs w:val="18"/>
          <w:shd w:fill="auto" w:val="clear"/>
        </w:rPr>
        <w:t xml:space="preserve"> na qual irá constar o item e a quantidade a ser entregue. Se o último dia corrido do prazo de entrega for um dia “não útil” (fim de semana ou feriado) o vencimento do prazo de entrega será o primeiro dia útil subsequente;</w:t>
      </w:r>
    </w:p>
    <w:p>
      <w:pPr>
        <w:pStyle w:val="Normal1"/>
        <w:pBdr/>
        <w:jc w:val="both"/>
        <w:rPr>
          <w:color w:val="auto"/>
          <w:shd w:fill="auto" w:val="clear"/>
        </w:rPr>
      </w:pPr>
      <w:r>
        <w:rPr>
          <w:rFonts w:eastAsia="Verdana" w:cs="Verdana" w:ascii="Verdana" w:hAnsi="Verdana"/>
          <w:b/>
          <w:color w:val="000000"/>
          <w:sz w:val="18"/>
          <w:szCs w:val="18"/>
          <w:shd w:fill="auto" w:val="clear"/>
        </w:rPr>
        <w:t>g)</w:t>
      </w:r>
      <w:r>
        <w:rPr>
          <w:rFonts w:eastAsia="Verdana" w:cs="Verdana" w:ascii="Verdana" w:hAnsi="Verdana"/>
          <w:color w:val="000000"/>
          <w:sz w:val="18"/>
          <w:szCs w:val="18"/>
          <w:shd w:fill="auto" w:val="clear"/>
        </w:rPr>
        <w:t xml:space="preserve"> O </w:t>
      </w:r>
      <w:r>
        <w:rPr>
          <w:rFonts w:eastAsia="Verdana" w:cs="Verdana" w:ascii="Verdana" w:hAnsi="Verdana"/>
          <w:b/>
          <w:color w:val="000000"/>
          <w:sz w:val="18"/>
          <w:szCs w:val="18"/>
          <w:shd w:fill="auto" w:val="clear"/>
        </w:rPr>
        <w:t>prazo mínimo de garantia</w:t>
      </w:r>
      <w:r>
        <w:rPr>
          <w:rFonts w:eastAsia="Verdana" w:cs="Verdana" w:ascii="Verdana" w:hAnsi="Verdana"/>
          <w:color w:val="000000"/>
          <w:sz w:val="18"/>
          <w:szCs w:val="18"/>
          <w:shd w:fill="auto" w:val="clear"/>
        </w:rPr>
        <w:t xml:space="preserve"> dos materiais será de </w:t>
      </w:r>
      <w:r>
        <w:rPr>
          <w:rFonts w:eastAsia="Verdana" w:cs="Verdana" w:ascii="Verdana" w:hAnsi="Verdana"/>
          <w:b/>
          <w:color w:val="000000"/>
          <w:sz w:val="18"/>
          <w:szCs w:val="18"/>
          <w:shd w:fill="auto" w:val="clear"/>
        </w:rPr>
        <w:t xml:space="preserve">12 (doze) meses </w:t>
      </w:r>
      <w:r>
        <w:rPr>
          <w:rFonts w:eastAsia="Verdana" w:cs="Verdana" w:ascii="Verdana" w:hAnsi="Verdana"/>
          <w:color w:val="000000"/>
          <w:sz w:val="18"/>
          <w:szCs w:val="18"/>
          <w:shd w:fill="auto" w:val="clear"/>
        </w:rPr>
        <w:t>para cada unidade, a partir da data de recebimento definitivo dos itens e deverá cobrir defeitos de fabricação, bem como os defeitos que surgirem durante o uso normal dos materiais e vícios ocultos.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555"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4.8 - </w:t>
      </w:r>
      <w:r>
        <w:rPr>
          <w:rFonts w:eastAsia="Verdana" w:cs="Verdana" w:ascii="Verdana" w:hAnsi="Verdana"/>
          <w:color w:val="000000"/>
          <w:sz w:val="18"/>
          <w:szCs w:val="18"/>
          <w:shd w:fill="auto" w:val="clear"/>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  DA ABERTURA DA SESSÃO, CLASSIFICAÇÃO DAS PROPOSTAS E FORMULAÇÃO DE LANCES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5.1 -</w:t>
      </w:r>
      <w:r>
        <w:rPr>
          <w:rFonts w:eastAsia="Verdana" w:cs="Verdana" w:ascii="Verdana" w:hAnsi="Verdana"/>
          <w:color w:val="000000"/>
          <w:sz w:val="18"/>
          <w:szCs w:val="18"/>
          <w:shd w:fill="auto" w:val="clear"/>
        </w:rPr>
        <w:t xml:space="preserve"> </w:t>
      </w:r>
      <w:r>
        <w:rPr>
          <w:rFonts w:eastAsia="Verdana" w:cs="Verdana" w:ascii="Verdana" w:hAnsi="Verdana"/>
          <w:color w:val="000000"/>
          <w:sz w:val="18"/>
          <w:szCs w:val="18"/>
          <w:shd w:fill="auto" w:val="clear"/>
        </w:rPr>
        <w:t>A abertura da presente licitação dar-se-á automaticamente em sessão pública, por meio de sistema eletrônico, na data, horário e local indicados neste Edital.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5.2 -</w:t>
      </w:r>
      <w:r>
        <w:rPr>
          <w:rFonts w:eastAsia="Verdana" w:cs="Verdana" w:ascii="Verdana" w:hAnsi="Verdana"/>
          <w:color w:val="000000"/>
          <w:sz w:val="18"/>
          <w:szCs w:val="18"/>
          <w:shd w:fill="auto" w:val="clear"/>
        </w:rPr>
        <w:t xml:space="preserve"> Será desclassificada a proposta que identifique o licitante.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5.3 -</w:t>
      </w:r>
      <w:r>
        <w:rPr>
          <w:rFonts w:eastAsia="Verdana" w:cs="Verdana" w:ascii="Verdana" w:hAnsi="Verdana"/>
          <w:color w:val="000000"/>
          <w:sz w:val="18"/>
          <w:szCs w:val="18"/>
          <w:shd w:fill="auto" w:val="clear"/>
        </w:rPr>
        <w:t xml:space="preserve"> A desclassificação será sempre fundamentada e registrada no sistema, com acompanhamento em tempo real por todos os participantes.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5.4 -</w:t>
      </w:r>
      <w:r>
        <w:rPr>
          <w:rFonts w:eastAsia="Verdana" w:cs="Verdana" w:ascii="Verdana" w:hAnsi="Verdana"/>
          <w:color w:val="000000"/>
          <w:sz w:val="18"/>
          <w:szCs w:val="18"/>
          <w:shd w:fill="auto" w:val="clear"/>
        </w:rPr>
        <w:t xml:space="preserve"> A não desclassificação da proposta não impede o seu julgamento definitivo em sentido contrário, levado a efeito na fase de aceitação.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5.5 - </w:t>
      </w:r>
      <w:r>
        <w:rPr>
          <w:rFonts w:eastAsia="Verdana" w:cs="Verdana" w:ascii="Verdana" w:hAnsi="Verdana"/>
          <w:color w:val="000000"/>
          <w:sz w:val="18"/>
          <w:szCs w:val="18"/>
          <w:shd w:fill="auto" w:val="clear"/>
        </w:rPr>
        <w:t>O sistema ordenará automaticamente as propostas classificadas, sendo que somente estas participarão da fase de lances.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5.6 -</w:t>
      </w:r>
      <w:r>
        <w:rPr>
          <w:rFonts w:eastAsia="Verdana" w:cs="Verdana" w:ascii="Verdana" w:hAnsi="Verdana"/>
          <w:color w:val="000000"/>
          <w:sz w:val="18"/>
          <w:szCs w:val="18"/>
          <w:shd w:fill="auto" w:val="clear"/>
        </w:rPr>
        <w:t xml:space="preserve"> O sistema disponibilizará campo próprio para troca de mensagens entre o Pregoeiro e os licitantes.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5.7 -</w:t>
      </w:r>
      <w:r>
        <w:rPr>
          <w:rFonts w:eastAsia="Verdana" w:cs="Verdana" w:ascii="Verdana" w:hAnsi="Verdana"/>
          <w:color w:val="000000"/>
          <w:sz w:val="18"/>
          <w:szCs w:val="18"/>
          <w:shd w:fill="auto" w:val="clear"/>
        </w:rPr>
        <w:t xml:space="preserve"> Iniciada a etapa competitiva, os licitantes deverão encaminhar lances exclusivamente por meio de sistema eletrônico, sendo imediatamente informados do seu recebimento e do valor consignado no registro.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5.8 -</w:t>
      </w:r>
      <w:r>
        <w:rPr>
          <w:rFonts w:eastAsia="Verdana" w:cs="Verdana" w:ascii="Verdana" w:hAnsi="Verdana"/>
          <w:color w:val="000000"/>
          <w:sz w:val="18"/>
          <w:szCs w:val="18"/>
          <w:shd w:fill="auto" w:val="clear"/>
        </w:rPr>
        <w:t xml:space="preserve"> O lance será ofertado pelo valor</w:t>
      </w:r>
      <w:r>
        <w:rPr>
          <w:rFonts w:eastAsia="Verdana" w:cs="Verdana" w:ascii="Verdana" w:hAnsi="Verdana"/>
          <w:b/>
          <w:color w:val="000000"/>
          <w:sz w:val="18"/>
          <w:szCs w:val="18"/>
          <w:shd w:fill="auto" w:val="clear"/>
        </w:rPr>
        <w:t xml:space="preserve"> unitário do item.</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5.9 -</w:t>
      </w:r>
      <w:r>
        <w:rPr>
          <w:rFonts w:eastAsia="Verdana" w:cs="Verdana" w:ascii="Verdana" w:hAnsi="Verdana"/>
          <w:color w:val="000000"/>
          <w:sz w:val="18"/>
          <w:szCs w:val="18"/>
          <w:shd w:fill="auto" w:val="clear"/>
        </w:rPr>
        <w:t xml:space="preserve"> Os licitantes poderão oferecer lances sucessivos, observando o horário fixado para abertura da sessão e as regras estabelecidas no Edital.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5.10 -</w:t>
      </w:r>
      <w:r>
        <w:rPr>
          <w:rFonts w:eastAsia="Verdana" w:cs="Verdana" w:ascii="Verdana" w:hAnsi="Verdana"/>
          <w:color w:val="000000"/>
          <w:sz w:val="18"/>
          <w:szCs w:val="18"/>
          <w:shd w:fill="auto" w:val="clear"/>
        </w:rPr>
        <w:t xml:space="preserve"> O licitante somente poderá oferecer lance de valor inferior ou percentual de desconto superior ao último por ele ofertado e registrado pelo sistema.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5.11 -</w:t>
      </w:r>
      <w:r>
        <w:rPr>
          <w:rFonts w:eastAsia="Verdana" w:cs="Verdana" w:ascii="Verdana" w:hAnsi="Verdana"/>
          <w:color w:val="000000"/>
          <w:sz w:val="18"/>
          <w:szCs w:val="18"/>
          <w:shd w:fill="auto" w:val="clear"/>
        </w:rPr>
        <w:t xml:space="preserve"> O licitante poderá, uma única vez, excluir seu último lance ofertado, no intervalo de quinze segundos após o registro no sistema, na hipótese de lance inconsistente ou inexequível.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5.12 -</w:t>
      </w:r>
      <w:r>
        <w:rPr>
          <w:rFonts w:eastAsia="Verdana" w:cs="Verdana" w:ascii="Verdana" w:hAnsi="Verdana"/>
          <w:color w:val="000000"/>
          <w:sz w:val="18"/>
          <w:szCs w:val="18"/>
          <w:shd w:fill="auto" w:val="clear"/>
        </w:rPr>
        <w:t xml:space="preserve"> O procedimento seguirá de acordo com o modo de disputa </w:t>
      </w:r>
      <w:r>
        <w:rPr>
          <w:rFonts w:eastAsia="Verdana" w:cs="Verdana" w:ascii="Verdana" w:hAnsi="Verdana"/>
          <w:b/>
          <w:color w:val="000000"/>
          <w:sz w:val="18"/>
          <w:szCs w:val="18"/>
          <w:shd w:fill="auto" w:val="clear"/>
        </w:rPr>
        <w:t>ABERTO E FECHADO</w:t>
      </w:r>
      <w:r>
        <w:rPr>
          <w:rFonts w:eastAsia="Verdana" w:cs="Verdana" w:ascii="Verdana" w:hAnsi="Verdana"/>
          <w:color w:val="000000"/>
          <w:sz w:val="18"/>
          <w:szCs w:val="18"/>
          <w:shd w:fill="auto" w:val="clear"/>
        </w:rPr>
        <w:t>, no qual os licitantes apresentarão lances públicos e sucessivos, com lance final e fechado.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5.12.1 -</w:t>
      </w:r>
      <w:r>
        <w:rPr>
          <w:rFonts w:eastAsia="Verdana" w:cs="Verdana" w:ascii="Verdana" w:hAnsi="Verdana"/>
          <w:color w:val="000000"/>
          <w:sz w:val="18"/>
          <w:szCs w:val="18"/>
          <w:shd w:fill="auto" w:val="clear"/>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5.12.2 -</w:t>
      </w:r>
      <w:r>
        <w:rPr>
          <w:rFonts w:eastAsia="Verdana" w:cs="Verdana" w:ascii="Verdana" w:hAnsi="Verdana"/>
          <w:color w:val="000000"/>
          <w:sz w:val="18"/>
          <w:szCs w:val="18"/>
          <w:shd w:fill="auto" w:val="clear"/>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5.12.3 -</w:t>
      </w:r>
      <w:r>
        <w:rPr>
          <w:rFonts w:eastAsia="Verdana" w:cs="Verdana" w:ascii="Verdana" w:hAnsi="Verdana"/>
          <w:color w:val="000000"/>
          <w:sz w:val="18"/>
          <w:szCs w:val="18"/>
          <w:shd w:fill="auto" w:val="clear"/>
        </w:rPr>
        <w:t xml:space="preserve"> No procedimento de que trata o subitem supra, o licitante poderá optar por manter o seu último lance da etapa aberta, ou por ofertar melhor lance.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5.12.4 -</w:t>
      </w:r>
      <w:r>
        <w:rPr>
          <w:rFonts w:eastAsia="Verdana" w:cs="Verdana" w:ascii="Verdana" w:hAnsi="Verdana"/>
          <w:color w:val="000000"/>
          <w:sz w:val="18"/>
          <w:szCs w:val="18"/>
          <w:shd w:fill="auto" w:val="clear"/>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5.12.5 -</w:t>
      </w:r>
      <w:r>
        <w:rPr>
          <w:rFonts w:eastAsia="Verdana" w:cs="Verdana" w:ascii="Verdana" w:hAnsi="Verdana"/>
          <w:color w:val="000000"/>
          <w:sz w:val="18"/>
          <w:szCs w:val="18"/>
          <w:shd w:fill="auto" w:val="clear"/>
        </w:rPr>
        <w:t xml:space="preserve"> Após o término dos prazos estabelecidos nos itens anteriores, o sistema ordenará e divulgará os lances segundo a ordem crescente de valores.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5.13 -</w:t>
      </w:r>
      <w:r>
        <w:rPr>
          <w:rFonts w:eastAsia="Verdana" w:cs="Verdana" w:ascii="Verdana" w:hAnsi="Verdana"/>
          <w:color w:val="000000"/>
          <w:sz w:val="18"/>
          <w:szCs w:val="18"/>
          <w:shd w:fill="auto" w:val="clear"/>
        </w:rPr>
        <w:t xml:space="preserve"> Não serão aceitos dois ou mais lances de mesmo valor, prevalecendo aquele que for recebido e registrado em primeiro lugar.</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5.14 - </w:t>
      </w:r>
      <w:r>
        <w:rPr>
          <w:rFonts w:eastAsia="Verdana" w:cs="Verdana" w:ascii="Verdana" w:hAnsi="Verdana"/>
          <w:color w:val="000000"/>
          <w:sz w:val="18"/>
          <w:szCs w:val="18"/>
          <w:shd w:fill="auto" w:val="clear"/>
        </w:rPr>
        <w:t>Durante o transcurso da sessão pública, os licitantes serão informados, em tempo real, do valor do menor lance registrado, vedada a identificação do licitante.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5.15 - </w:t>
      </w:r>
      <w:r>
        <w:rPr>
          <w:rFonts w:eastAsia="Verdana" w:cs="Verdana" w:ascii="Verdana" w:hAnsi="Verdana"/>
          <w:color w:val="000000"/>
          <w:sz w:val="18"/>
          <w:szCs w:val="18"/>
          <w:shd w:fill="auto" w:val="clear"/>
        </w:rPr>
        <w:t xml:space="preserve">No caso de desconexão com o Pregoeiro, no decorrer da etapa competitiva do Pregão, o sistema eletrônico poderá permanecer acessível aos licitantes para a recepção dos lances. </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5.16 -</w:t>
      </w:r>
      <w:r>
        <w:rPr>
          <w:rFonts w:eastAsia="Verdana" w:cs="Verdana" w:ascii="Verdana" w:hAnsi="Verdana"/>
          <w:color w:val="000000"/>
          <w:sz w:val="18"/>
          <w:szCs w:val="18"/>
          <w:shd w:fill="auto" w:val="clear"/>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5.17 -</w:t>
      </w:r>
      <w:r>
        <w:rPr>
          <w:rFonts w:eastAsia="Verdana" w:cs="Verdana" w:ascii="Verdana" w:hAnsi="Verdana"/>
          <w:color w:val="000000"/>
          <w:sz w:val="18"/>
          <w:szCs w:val="18"/>
          <w:shd w:fill="auto" w:val="clear"/>
        </w:rPr>
        <w:t xml:space="preserve"> Caso o licitante não apresente lances, concorrerá com o valor de sua proposta.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5.18 -</w:t>
      </w:r>
      <w:r>
        <w:rPr>
          <w:rFonts w:eastAsia="Verdana" w:cs="Verdana" w:ascii="Verdana" w:hAnsi="Verdana"/>
          <w:color w:val="000000"/>
          <w:sz w:val="18"/>
          <w:szCs w:val="18"/>
          <w:shd w:fill="auto" w:val="clear"/>
        </w:rPr>
        <w:t xml:space="preserve"> Só poderá haver empate entre propostas iguais (não seguidas de lances), ou entre lances finais da fase fechada do modo de disputa aberto e fechado. </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 xml:space="preserve">5.18.1 - </w:t>
      </w:r>
      <w:r>
        <w:rPr>
          <w:rFonts w:eastAsia="Verdana" w:cs="Verdana" w:ascii="Verdana" w:hAnsi="Verdana"/>
          <w:color w:val="000000"/>
          <w:sz w:val="18"/>
          <w:szCs w:val="18"/>
          <w:shd w:fill="auto" w:val="clear"/>
        </w:rPr>
        <w:t>Em caso de empate entre duas ou mais propostas, será observado o disposto no art. 60 da Lei 14.133, de 2021.</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5.19 -</w:t>
      </w:r>
      <w:r>
        <w:rPr>
          <w:rFonts w:eastAsia="Verdana" w:cs="Verdana" w:ascii="Verdana" w:hAnsi="Verdana"/>
          <w:color w:val="000000"/>
          <w:sz w:val="18"/>
          <w:szCs w:val="18"/>
          <w:shd w:fill="auto" w:val="clear"/>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5.19.1 -</w:t>
      </w:r>
      <w:r>
        <w:rPr>
          <w:rFonts w:eastAsia="Verdana" w:cs="Verdana" w:ascii="Verdana" w:hAnsi="Verdana"/>
          <w:color w:val="000000"/>
          <w:sz w:val="18"/>
          <w:szCs w:val="18"/>
          <w:shd w:fill="auto" w:val="clear"/>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 xml:space="preserve">5.19.2 - </w:t>
      </w:r>
      <w:r>
        <w:rPr>
          <w:rFonts w:eastAsia="Verdana" w:cs="Verdana" w:ascii="Verdana" w:hAnsi="Verdana"/>
          <w:color w:val="000000"/>
          <w:sz w:val="18"/>
          <w:szCs w:val="18"/>
          <w:shd w:fill="auto" w:val="clear"/>
        </w:rPr>
        <w:t>A negociação será realizada por meio do sistema, podendo ser acompanhada pelos demais licitantes.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5.19.3 -</w:t>
      </w:r>
      <w:r>
        <w:rPr>
          <w:rFonts w:eastAsia="Verdana" w:cs="Verdana" w:ascii="Verdana" w:hAnsi="Verdana"/>
          <w:color w:val="000000"/>
          <w:sz w:val="18"/>
          <w:szCs w:val="18"/>
          <w:shd w:fill="auto" w:val="clear"/>
        </w:rPr>
        <w:t xml:space="preserve"> O resultado da negociação será divulgado a todos os licitantes e anexado aos autos do processo licitatório.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5.19.4 -</w:t>
      </w:r>
      <w:r>
        <w:rPr>
          <w:rFonts w:eastAsia="Verdana" w:cs="Verdana" w:ascii="Verdana" w:hAnsi="Verdana"/>
          <w:color w:val="000000"/>
          <w:sz w:val="18"/>
          <w:szCs w:val="18"/>
          <w:shd w:fill="auto" w:val="clear"/>
        </w:rPr>
        <w:t xml:space="preserve"> O pregoeiro solicitará ao licitante mais bem classificado que, </w:t>
      </w:r>
      <w:r>
        <w:rPr>
          <w:rFonts w:eastAsia="Verdana" w:cs="Verdana" w:ascii="Verdana" w:hAnsi="Verdana"/>
          <w:b/>
          <w:color w:val="000000"/>
          <w:sz w:val="18"/>
          <w:szCs w:val="18"/>
          <w:shd w:fill="auto" w:val="clear"/>
        </w:rPr>
        <w:t>no prazo de 2 (duas) horas</w:t>
      </w:r>
      <w:r>
        <w:rPr>
          <w:rFonts w:eastAsia="Verdana" w:cs="Verdana" w:ascii="Verdana" w:hAnsi="Verdana"/>
          <w:color w:val="000000"/>
          <w:sz w:val="18"/>
          <w:szCs w:val="18"/>
          <w:shd w:fill="auto" w:val="clear"/>
        </w:rPr>
        <w:t xml:space="preserve">, envie a proposta adequada ao último lance ofertado após a negociação realizada, acompanhada, se for o caso, dos documentos complementares, quando necessários à confirmação daqueles exigidos neste Edital e já apresentados, </w:t>
      </w:r>
      <w:r>
        <w:rPr>
          <w:rFonts w:eastAsia="Verdana" w:cs="Verdana" w:ascii="Verdana" w:hAnsi="Verdana"/>
          <w:b/>
          <w:color w:val="000000"/>
          <w:sz w:val="18"/>
          <w:szCs w:val="18"/>
          <w:shd w:fill="auto" w:val="clear"/>
        </w:rPr>
        <w:t>com valor unitário e total do ITEM, conforme modelo de proposta constante do Adendo I deste edital.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5.19.4.1. Junto da Proposta, a Licitante deverá comprovar</w:t>
      </w:r>
      <w:r>
        <w:rPr>
          <w:rFonts w:eastAsia="Verdana" w:cs="Verdana" w:ascii="Verdana" w:hAnsi="Verdana"/>
          <w:color w:val="000000"/>
          <w:sz w:val="18"/>
          <w:szCs w:val="18"/>
          <w:shd w:fill="auto" w:val="clear"/>
        </w:rPr>
        <w:t xml:space="preserve"> que os fabricantes estão inscritos no Cadastro Técnico Federal de Atividades Potencialmente Poluidoras e Utilizadoras de Recursos Ambientais (CTF/APP) do </w:t>
      </w:r>
      <w:r>
        <w:rPr>
          <w:rFonts w:eastAsia="Verdana" w:cs="Verdana" w:ascii="Verdana" w:hAnsi="Verdana"/>
          <w:b/>
          <w:color w:val="000000"/>
          <w:sz w:val="18"/>
          <w:szCs w:val="18"/>
          <w:shd w:fill="auto" w:val="clear"/>
        </w:rPr>
        <w:t>IBAMA</w:t>
      </w:r>
      <w:r>
        <w:rPr>
          <w:rFonts w:eastAsia="Verdana" w:cs="Verdana" w:ascii="Verdana" w:hAnsi="Verdana"/>
          <w:color w:val="000000"/>
          <w:sz w:val="18"/>
          <w:szCs w:val="18"/>
          <w:shd w:fill="auto" w:val="clear"/>
        </w:rPr>
        <w:t xml:space="preserve"> ou apresentar documento comprobatório de dispensa de inscrição no referido cadastro, emitido pelo órgão ambiental competente (IBAMA, IEMA, etc).</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color w:val="auto"/>
          <w:shd w:fill="auto" w:val="clear"/>
        </w:rPr>
      </w:pPr>
      <w:r>
        <w:rPr>
          <w:rFonts w:eastAsia="Verdana" w:cs="Verdana" w:ascii="Verdana" w:hAnsi="Verdana"/>
          <w:b/>
          <w:color w:val="000000"/>
          <w:sz w:val="18"/>
          <w:szCs w:val="18"/>
          <w:shd w:fill="auto" w:val="clear"/>
        </w:rPr>
        <w:t xml:space="preserve">5.19.4.2 - </w:t>
      </w:r>
      <w:r>
        <w:rPr>
          <w:rFonts w:eastAsia="Verdana" w:cs="Verdana" w:ascii="Verdana" w:hAnsi="Verdana"/>
          <w:color w:val="000000"/>
          <w:sz w:val="18"/>
          <w:szCs w:val="18"/>
          <w:shd w:fill="auto" w:val="clear"/>
        </w:rPr>
        <w:t>É facultado ao pregoeiro prorrogar o prazo estabelecido, a partir de solicitação fundamentada feita no chat pelo licitante, antes de findo o prazo.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color w:val="auto"/>
          <w:shd w:fill="auto" w:val="clear"/>
        </w:rPr>
      </w:pPr>
      <w:r>
        <w:rPr>
          <w:rFonts w:eastAsia="Verdana" w:cs="Verdana" w:ascii="Verdana" w:hAnsi="Verdana"/>
          <w:b/>
          <w:color w:val="000000"/>
          <w:sz w:val="18"/>
          <w:szCs w:val="18"/>
          <w:shd w:fill="auto" w:val="clear"/>
        </w:rPr>
        <w:t>5.19.4.3 -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567"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0" w:hanging="0"/>
        <w:jc w:val="both"/>
        <w:rPr>
          <w:color w:val="auto"/>
          <w:shd w:fill="auto" w:val="clear"/>
        </w:rPr>
      </w:pPr>
      <w:r>
        <w:rPr>
          <w:rFonts w:eastAsia="Verdana" w:cs="Verdana" w:ascii="Verdana" w:hAnsi="Verdana"/>
          <w:b/>
          <w:color w:val="000000"/>
          <w:sz w:val="18"/>
          <w:szCs w:val="18"/>
          <w:shd w:fill="auto" w:val="clear"/>
        </w:rPr>
        <w:t xml:space="preserve">5.19.4.4 - </w:t>
      </w:r>
      <w:r>
        <w:rPr>
          <w:rFonts w:eastAsia="Verdana" w:cs="Verdana" w:ascii="Verdana" w:hAnsi="Verdana"/>
          <w:color w:val="000000"/>
          <w:sz w:val="18"/>
          <w:szCs w:val="18"/>
          <w:shd w:fill="auto" w:val="clear"/>
        </w:rPr>
        <w:t>Caso necessário,</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para uma melhor análise técnica, a empresa concorrente poderá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5.20 -</w:t>
      </w:r>
      <w:r>
        <w:rPr>
          <w:rFonts w:eastAsia="Verdana" w:cs="Verdana" w:ascii="Verdana" w:hAnsi="Verdana"/>
          <w:color w:val="000000"/>
          <w:sz w:val="18"/>
          <w:szCs w:val="18"/>
          <w:shd w:fill="auto" w:val="clear"/>
        </w:rPr>
        <w:t xml:space="preserve"> Após a negociação do preço, o Pregoeiro iniciará a fase de aceitação e julgamento da proposta.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6 -</w:t>
      </w:r>
      <w:r>
        <w:rPr>
          <w:rFonts w:eastAsia="Verdana" w:cs="Verdana" w:ascii="Verdana" w:hAnsi="Verdana"/>
          <w:b/>
          <w:color w:val="000000"/>
          <w:sz w:val="18"/>
          <w:szCs w:val="18"/>
          <w:shd w:fill="auto" w:val="clear"/>
        </w:rPr>
        <w:t xml:space="preserve"> </w:t>
      </w:r>
      <w:r>
        <w:rPr>
          <w:rFonts w:eastAsia="Verdana" w:cs="Verdana" w:ascii="Verdana" w:hAnsi="Verdana"/>
          <w:b/>
          <w:color w:val="000000"/>
          <w:sz w:val="18"/>
          <w:szCs w:val="18"/>
          <w:shd w:fill="auto" w:val="clear"/>
        </w:rPr>
        <w:t>DA FASE DE JULGAMENTO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6.1 - </w:t>
      </w:r>
      <w:r>
        <w:rPr>
          <w:rFonts w:eastAsia="Verdana" w:cs="Verdana" w:ascii="Verdana" w:hAnsi="Verdana"/>
          <w:color w:val="000000"/>
          <w:sz w:val="18"/>
          <w:szCs w:val="18"/>
          <w:shd w:fill="auto" w:val="clear"/>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pPr>
        <w:pStyle w:val="Normal1"/>
        <w:ind w:left="284" w:hanging="0"/>
        <w:jc w:val="both"/>
        <w:rPr>
          <w:color w:val="auto"/>
          <w:shd w:fill="auto" w:val="clear"/>
        </w:rPr>
      </w:pPr>
      <w:r>
        <w:rPr>
          <w:rFonts w:eastAsia="Verdana" w:cs="Verdana" w:ascii="Verdana" w:hAnsi="Verdana"/>
          <w:b/>
          <w:color w:val="000000"/>
          <w:sz w:val="18"/>
          <w:szCs w:val="18"/>
          <w:shd w:fill="auto" w:val="clear"/>
        </w:rPr>
        <w:t>a)</w:t>
      </w:r>
      <w:r>
        <w:rPr>
          <w:rFonts w:eastAsia="Verdana" w:cs="Verdana" w:ascii="Verdana" w:hAnsi="Verdana"/>
          <w:color w:val="000000"/>
          <w:sz w:val="18"/>
          <w:szCs w:val="18"/>
          <w:shd w:fill="auto" w:val="clear"/>
        </w:rPr>
        <w:t xml:space="preserve"> SICAF;</w:t>
      </w:r>
    </w:p>
    <w:p>
      <w:pPr>
        <w:pStyle w:val="Normal1"/>
        <w:ind w:left="284" w:hanging="0"/>
        <w:jc w:val="both"/>
        <w:rPr>
          <w:color w:val="auto"/>
          <w:shd w:fill="auto" w:val="clear"/>
        </w:rPr>
      </w:pPr>
      <w:r>
        <w:rPr>
          <w:rFonts w:eastAsia="Verdana" w:cs="Verdana" w:ascii="Verdana" w:hAnsi="Verdana"/>
          <w:b/>
          <w:color w:val="000000"/>
          <w:sz w:val="18"/>
          <w:szCs w:val="18"/>
          <w:shd w:fill="auto" w:val="clear"/>
        </w:rPr>
        <w:t>b)</w:t>
      </w:r>
      <w:r>
        <w:rPr>
          <w:rFonts w:eastAsia="Verdana" w:cs="Verdana" w:ascii="Verdana" w:hAnsi="Verdana"/>
          <w:color w:val="000000"/>
          <w:sz w:val="18"/>
          <w:szCs w:val="18"/>
          <w:shd w:fill="auto" w:val="clear"/>
        </w:rPr>
        <w:t xml:space="preserve"> Consulta consolidada de Pessoa Jurídica, mantido pelo Tribunal de Contas da União – TCU &lt;https://certidoes-apf.apps.tcu.gov.br/&gt;.</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6.2 - </w:t>
      </w:r>
      <w:r>
        <w:rPr>
          <w:rFonts w:eastAsia="Verdana" w:cs="Verdana" w:ascii="Verdana" w:hAnsi="Verdana"/>
          <w:color w:val="000000"/>
          <w:sz w:val="18"/>
          <w:szCs w:val="18"/>
          <w:shd w:fill="auto" w:val="clear"/>
        </w:rPr>
        <w:t>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6.3 - </w:t>
      </w:r>
      <w:r>
        <w:rPr>
          <w:rFonts w:eastAsia="Verdana" w:cs="Verdana" w:ascii="Verdana" w:hAnsi="Verdana"/>
          <w:color w:val="000000"/>
          <w:sz w:val="18"/>
          <w:szCs w:val="18"/>
          <w:shd w:fill="auto" w:val="clear"/>
        </w:rPr>
        <w:t>Caso conste na Consulta de Situação do licitante a existência de Ocorrências Impeditivas Indiretas, o Pregoeiro diligenciará para verificar se houve fraude por parte das empresas apontadas no Relatório de Ocorrências Impeditivas Indiretas.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6.3.1 -</w:t>
      </w:r>
      <w:r>
        <w:rPr>
          <w:rFonts w:eastAsia="Verdana" w:cs="Verdana" w:ascii="Verdana" w:hAnsi="Verdana"/>
          <w:color w:val="000000"/>
          <w:sz w:val="18"/>
          <w:szCs w:val="18"/>
          <w:shd w:fill="auto" w:val="clear"/>
        </w:rPr>
        <w:t xml:space="preserve"> A tentativa de burla será verificada por meio dos vínculos societários, linhas de fornecimento similares, dentre outros.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6.3.2 -</w:t>
      </w:r>
      <w:r>
        <w:rPr>
          <w:rFonts w:eastAsia="Verdana" w:cs="Verdana" w:ascii="Verdana" w:hAnsi="Verdana"/>
          <w:color w:val="000000"/>
          <w:sz w:val="18"/>
          <w:szCs w:val="18"/>
          <w:shd w:fill="auto" w:val="clear"/>
        </w:rPr>
        <w:t xml:space="preserve"> O licitante será convocado para manifestação previamente a uma eventual desclassificação.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6.3.4 -</w:t>
      </w:r>
      <w:r>
        <w:rPr>
          <w:rFonts w:eastAsia="Verdana" w:cs="Verdana" w:ascii="Verdana" w:hAnsi="Verdana"/>
          <w:color w:val="000000"/>
          <w:sz w:val="18"/>
          <w:szCs w:val="18"/>
          <w:shd w:fill="auto" w:val="clear"/>
        </w:rPr>
        <w:t xml:space="preserve"> Constatada a existência de sanção, o licitante será reputado inabilitado, por falta de condição de participação.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6.4 -</w:t>
      </w:r>
      <w:r>
        <w:rPr>
          <w:rFonts w:eastAsia="Verdana" w:cs="Verdana" w:ascii="Verdana" w:hAnsi="Verdana"/>
          <w:color w:val="000000"/>
          <w:sz w:val="18"/>
          <w:szCs w:val="18"/>
          <w:shd w:fill="auto" w:val="clear"/>
        </w:rPr>
        <w:t xml:space="preserve"> Caso o licitante provisoriamente classificado em primeiro lugar tenha se utilizado de algum tratamento favorecido às ME/EPPs, o pregoeiro verificará se faz jus ao benefício, em conformidade com os itens</w:t>
      </w:r>
      <w:r>
        <w:rPr>
          <w:rFonts w:eastAsia="Verdana" w:cs="Verdana" w:ascii="Verdana" w:hAnsi="Verdana"/>
          <w:b/>
          <w:color w:val="000000"/>
          <w:sz w:val="18"/>
          <w:szCs w:val="18"/>
          <w:shd w:fill="auto" w:val="clear"/>
        </w:rPr>
        <w:t xml:space="preserve"> 2.5.1</w:t>
      </w:r>
      <w:r>
        <w:rPr>
          <w:rFonts w:eastAsia="Verdana" w:cs="Verdana" w:ascii="Verdana" w:hAnsi="Verdana"/>
          <w:color w:val="000000"/>
          <w:sz w:val="18"/>
          <w:szCs w:val="18"/>
          <w:shd w:fill="auto" w:val="clear"/>
        </w:rPr>
        <w:t xml:space="preserve"> e </w:t>
      </w:r>
      <w:r>
        <w:rPr>
          <w:rFonts w:eastAsia="Verdana" w:cs="Verdana" w:ascii="Verdana" w:hAnsi="Verdana"/>
          <w:b/>
          <w:color w:val="000000"/>
          <w:sz w:val="18"/>
          <w:szCs w:val="18"/>
          <w:shd w:fill="auto" w:val="clear"/>
        </w:rPr>
        <w:t xml:space="preserve">3.4 </w:t>
      </w:r>
      <w:r>
        <w:rPr>
          <w:rFonts w:eastAsia="Verdana" w:cs="Verdana" w:ascii="Verdana" w:hAnsi="Verdana"/>
          <w:color w:val="000000"/>
          <w:sz w:val="18"/>
          <w:szCs w:val="18"/>
          <w:shd w:fill="auto" w:val="clear"/>
        </w:rPr>
        <w:t>deste Edital.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6.5 -</w:t>
      </w:r>
      <w:r>
        <w:rPr>
          <w:rFonts w:eastAsia="Verdana" w:cs="Verdana" w:ascii="Verdana" w:hAnsi="Verdana"/>
          <w:color w:val="000000"/>
          <w:sz w:val="18"/>
          <w:szCs w:val="18"/>
          <w:shd w:fill="auto" w:val="clear"/>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6.6 - Envio de amostras: </w:t>
      </w:r>
      <w:r>
        <w:rPr>
          <w:rFonts w:eastAsia="Verdana" w:cs="Verdana" w:ascii="Verdana" w:hAnsi="Verdana"/>
          <w:color w:val="000000"/>
          <w:sz w:val="18"/>
          <w:szCs w:val="18"/>
          <w:shd w:fill="auto" w:val="clear"/>
        </w:rPr>
        <w:t xml:space="preserve">Poderão ser solicitadas </w:t>
      </w:r>
      <w:r>
        <w:rPr>
          <w:rFonts w:eastAsia="Verdana" w:cs="Verdana" w:ascii="Verdana" w:hAnsi="Verdana"/>
          <w:b/>
          <w:color w:val="000000"/>
          <w:sz w:val="18"/>
          <w:szCs w:val="18"/>
          <w:shd w:fill="auto" w:val="clear"/>
        </w:rPr>
        <w:t>amostras dos materiais</w:t>
      </w:r>
      <w:r>
        <w:rPr>
          <w:rFonts w:eastAsia="Verdana" w:cs="Verdana" w:ascii="Verdana" w:hAnsi="Verdana"/>
          <w:color w:val="000000"/>
          <w:sz w:val="18"/>
          <w:szCs w:val="18"/>
          <w:shd w:fill="auto" w:val="clear"/>
        </w:rPr>
        <w:t>, para análise e teste de qualidade:</w:t>
      </w:r>
    </w:p>
    <w:p>
      <w:pPr>
        <w:pStyle w:val="Normal1"/>
        <w:numPr>
          <w:ilvl w:val="0"/>
          <w:numId w:val="13"/>
        </w:numP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120" w:after="0"/>
        <w:ind w:left="720" w:right="120" w:hanging="360"/>
        <w:jc w:val="both"/>
        <w:rPr>
          <w:color w:val="auto"/>
          <w:shd w:fill="auto" w:val="clear"/>
        </w:rPr>
      </w:pPr>
      <w:r>
        <w:rPr>
          <w:rFonts w:eastAsia="Verdana" w:cs="Verdana" w:ascii="Verdana" w:hAnsi="Verdana"/>
          <w:color w:val="000000"/>
          <w:sz w:val="18"/>
          <w:szCs w:val="18"/>
          <w:shd w:fill="auto" w:val="clear"/>
        </w:rPr>
        <w:t xml:space="preserve">Referidas amostras, quando solicitadas, deverão ser entregues em no máximo </w:t>
      </w:r>
      <w:r>
        <w:rPr>
          <w:rFonts w:eastAsia="Verdana" w:cs="Verdana" w:ascii="Verdana" w:hAnsi="Verdana"/>
          <w:b/>
          <w:color w:val="000000"/>
          <w:sz w:val="18"/>
          <w:szCs w:val="18"/>
          <w:shd w:fill="auto" w:val="clear"/>
        </w:rPr>
        <w:t>10 (dez) dias corridos</w:t>
      </w:r>
      <w:r>
        <w:rPr>
          <w:rFonts w:eastAsia="Verdana" w:cs="Verdana" w:ascii="Verdana" w:hAnsi="Verdana"/>
          <w:color w:val="000000"/>
          <w:sz w:val="18"/>
          <w:szCs w:val="18"/>
          <w:shd w:fill="auto" w:val="clear"/>
        </w:rPr>
        <w:t xml:space="preserve"> (contados do 1º dia útil subsequente à data da solicitação formal do Pregoeiro) no endereço que será informado pelo mesmo;</w:t>
      </w:r>
    </w:p>
    <w:p>
      <w:pPr>
        <w:pStyle w:val="Normal1"/>
        <w:numPr>
          <w:ilvl w:val="0"/>
          <w:numId w:val="13"/>
        </w:numP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720" w:right="120" w:hanging="360"/>
        <w:jc w:val="both"/>
        <w:rPr>
          <w:color w:val="auto"/>
          <w:shd w:fill="auto" w:val="clear"/>
        </w:rPr>
      </w:pPr>
      <w:r>
        <w:rPr>
          <w:rFonts w:eastAsia="Verdana" w:cs="Verdana" w:ascii="Verdana" w:hAnsi="Verdana"/>
          <w:color w:val="000000"/>
          <w:sz w:val="18"/>
          <w:szCs w:val="18"/>
          <w:shd w:fill="auto" w:val="clear"/>
        </w:rPr>
        <w:t>A metodologia de análise será baseada em uso (teste) do produto (amostra), observação dos componentes e demais diligências necessárias, objetivando verificar o atendimento, na íntegra, das especificações técnicas constantes no Termo de Referência;</w:t>
      </w:r>
    </w:p>
    <w:p>
      <w:pPr>
        <w:pStyle w:val="Normal1"/>
        <w:numPr>
          <w:ilvl w:val="0"/>
          <w:numId w:val="13"/>
        </w:numP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spacing w:lineRule="auto" w:line="240" w:before="0" w:after="120"/>
        <w:ind w:left="720" w:right="120" w:hanging="360"/>
        <w:jc w:val="both"/>
        <w:rPr>
          <w:color w:val="auto"/>
          <w:shd w:fill="auto" w:val="clear"/>
        </w:rPr>
      </w:pPr>
      <w:r>
        <w:rPr>
          <w:rFonts w:eastAsia="Verdana" w:cs="Verdana" w:ascii="Verdana" w:hAnsi="Verdana"/>
          <w:color w:val="000000"/>
          <w:sz w:val="18"/>
          <w:szCs w:val="18"/>
          <w:shd w:fill="auto" w:val="clear"/>
        </w:rPr>
        <w:t xml:space="preserve">O prazo para análise das amostras será de </w:t>
      </w:r>
      <w:r>
        <w:rPr>
          <w:rFonts w:eastAsia="Verdana" w:cs="Verdana" w:ascii="Verdana" w:hAnsi="Verdana"/>
          <w:b/>
          <w:color w:val="000000"/>
          <w:sz w:val="18"/>
          <w:szCs w:val="18"/>
          <w:shd w:fill="auto" w:val="clear"/>
        </w:rPr>
        <w:t>15 (quinze) dias corridos</w:t>
      </w:r>
      <w:r>
        <w:rPr>
          <w:rFonts w:eastAsia="Verdana" w:cs="Verdana" w:ascii="Verdana" w:hAnsi="Verdana"/>
          <w:color w:val="000000"/>
          <w:sz w:val="18"/>
          <w:szCs w:val="18"/>
          <w:shd w:fill="auto" w:val="clear"/>
        </w:rPr>
        <w:t xml:space="preserve"> contados a partir do recebimento das mesmas, após esse prazo, o licitante terá 30 (trinta) dias para retirar as amostras no local em que as entregou e, caso não as retire, os itens poderão ser utilizados ou descartados.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6.7 -</w:t>
      </w:r>
      <w:r>
        <w:rPr>
          <w:rFonts w:eastAsia="Verdana" w:cs="Verdana" w:ascii="Verdana" w:hAnsi="Verdana"/>
          <w:color w:val="000000"/>
          <w:sz w:val="18"/>
          <w:szCs w:val="18"/>
          <w:shd w:fill="auto" w:val="clear"/>
        </w:rPr>
        <w:t xml:space="preserve"> Será desclassificada a proposta vencedora que: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6.7.1 -</w:t>
      </w:r>
      <w:r>
        <w:rPr>
          <w:rFonts w:eastAsia="Verdana" w:cs="Verdana" w:ascii="Verdana" w:hAnsi="Verdana"/>
          <w:color w:val="000000"/>
          <w:sz w:val="18"/>
          <w:szCs w:val="18"/>
          <w:shd w:fill="auto" w:val="clear"/>
        </w:rPr>
        <w:t xml:space="preserve"> contiver vícios insanáveis;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6.7.2 -</w:t>
      </w:r>
      <w:r>
        <w:rPr>
          <w:rFonts w:eastAsia="Verdana" w:cs="Verdana" w:ascii="Verdana" w:hAnsi="Verdana"/>
          <w:color w:val="000000"/>
          <w:sz w:val="18"/>
          <w:szCs w:val="18"/>
          <w:shd w:fill="auto" w:val="clear"/>
        </w:rPr>
        <w:t xml:space="preserve"> não obedecer às especificações técnicas contidas no Termo de Referência - Anexo I deste Edital;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6.7.3 -</w:t>
      </w:r>
      <w:r>
        <w:rPr>
          <w:rFonts w:eastAsia="Verdana" w:cs="Verdana" w:ascii="Verdana" w:hAnsi="Verdana"/>
          <w:color w:val="000000"/>
          <w:sz w:val="18"/>
          <w:szCs w:val="18"/>
          <w:shd w:fill="auto" w:val="clear"/>
        </w:rPr>
        <w:t xml:space="preserve"> apresentar preços inexequíveis ou permanecerem acima do preço máximo definido para a contratação;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6.7.4 -</w:t>
      </w:r>
      <w:r>
        <w:rPr>
          <w:rFonts w:eastAsia="Verdana" w:cs="Verdana" w:ascii="Verdana" w:hAnsi="Verdana"/>
          <w:color w:val="000000"/>
          <w:sz w:val="18"/>
          <w:szCs w:val="18"/>
          <w:shd w:fill="auto" w:val="clear"/>
        </w:rPr>
        <w:t xml:space="preserve"> não tiverem sua exequibilidade demonstrada, quando exigido pela Administração;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6.7.5 -</w:t>
      </w:r>
      <w:r>
        <w:rPr>
          <w:rFonts w:eastAsia="Verdana" w:cs="Verdana" w:ascii="Verdana" w:hAnsi="Verdana"/>
          <w:color w:val="000000"/>
          <w:sz w:val="18"/>
          <w:szCs w:val="18"/>
          <w:shd w:fill="auto" w:val="clear"/>
        </w:rPr>
        <w:t xml:space="preserve"> apresentar desconformidade com quaisquer outras exigências deste Edital ou seus anexos, desde que insanável.</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6.8 -</w:t>
      </w:r>
      <w:r>
        <w:rPr>
          <w:rFonts w:eastAsia="Verdana" w:cs="Verdana" w:ascii="Verdana" w:hAnsi="Verdana"/>
          <w:color w:val="000000"/>
          <w:sz w:val="18"/>
          <w:szCs w:val="18"/>
          <w:shd w:fill="auto" w:val="clear"/>
        </w:rPr>
        <w:t xml:space="preserve"> Se houver indícios de inexequibilidade da proposta de preço, ou em caso da necessidade de esclarecimentos complementares, poderão ser efetuadas diligências, para que a empresa comprove a exequibilidade da proposta.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6.9 -</w:t>
      </w:r>
      <w:r>
        <w:rPr>
          <w:rFonts w:eastAsia="Verdana" w:cs="Verdana" w:ascii="Verdana" w:hAnsi="Verdana"/>
          <w:color w:val="000000"/>
          <w:sz w:val="18"/>
          <w:szCs w:val="18"/>
          <w:shd w:fill="auto" w:val="clear"/>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6.10 - </w:t>
      </w:r>
      <w:r>
        <w:rPr>
          <w:rFonts w:eastAsia="Verdana" w:cs="Verdana" w:ascii="Verdana" w:hAnsi="Verdana"/>
          <w:color w:val="000000"/>
          <w:sz w:val="18"/>
          <w:szCs w:val="18"/>
          <w:shd w:fill="auto" w:val="clear"/>
        </w:rPr>
        <w:t>Erros no preenchimento da planilha não constituem motivo para a desclassificação da proposta. A planilha poderá ser ajustada pelo fornecedor, no prazo indicado pelo sistema, desde que não haja majoração do preço.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6.10.1 -</w:t>
      </w:r>
      <w:r>
        <w:rPr>
          <w:rFonts w:eastAsia="Verdana" w:cs="Verdana" w:ascii="Verdana" w:hAnsi="Verdana"/>
          <w:color w:val="000000"/>
          <w:sz w:val="18"/>
          <w:szCs w:val="18"/>
          <w:shd w:fill="auto" w:val="clear"/>
        </w:rPr>
        <w:t xml:space="preserve"> O ajuste de que trata este dispositivo se limita a sanar erros ou falhas que não alterem a substância das propostas;</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ind w:left="284" w:hanging="0"/>
        <w:jc w:val="both"/>
        <w:rPr>
          <w:color w:val="auto"/>
          <w:shd w:fill="auto" w:val="clear"/>
        </w:rPr>
      </w:pPr>
      <w:r>
        <w:rPr>
          <w:rFonts w:eastAsia="Verdana" w:cs="Verdana" w:ascii="Verdana" w:hAnsi="Verdana"/>
          <w:b/>
          <w:color w:val="000000"/>
          <w:sz w:val="18"/>
          <w:szCs w:val="18"/>
          <w:shd w:fill="auto" w:val="clear"/>
        </w:rPr>
        <w:t>6.10.2 -</w:t>
      </w:r>
      <w:r>
        <w:rPr>
          <w:rFonts w:eastAsia="Verdana" w:cs="Verdana" w:ascii="Verdana" w:hAnsi="Verdana"/>
          <w:color w:val="000000"/>
          <w:sz w:val="18"/>
          <w:szCs w:val="18"/>
          <w:shd w:fill="auto" w:val="clear"/>
        </w:rPr>
        <w:t xml:space="preserve"> Considera-se erro no preenchimento da planilha passível de correção a indicação de recolhimento de impostos e contribuições na forma do Simples Nacional, quando não cabível esse regime.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6.11 -</w:t>
      </w:r>
      <w:r>
        <w:rPr>
          <w:rFonts w:eastAsia="Verdana" w:cs="Verdana" w:ascii="Verdana" w:hAnsi="Verdana"/>
          <w:color w:val="000000"/>
          <w:sz w:val="18"/>
          <w:szCs w:val="18"/>
          <w:shd w:fill="auto" w:val="clear"/>
        </w:rPr>
        <w:t xml:space="preserve"> Após análise, o pregoeiro decidirá sobre a aceitação da proposta, divulgando, em seguida, o resultado de sua análise.</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6.12 -</w:t>
      </w:r>
      <w:r>
        <w:rPr>
          <w:rFonts w:eastAsia="Verdana" w:cs="Verdana" w:ascii="Verdana" w:hAnsi="Verdana"/>
          <w:color w:val="000000"/>
          <w:sz w:val="18"/>
          <w:szCs w:val="18"/>
          <w:shd w:fill="auto" w:val="clear"/>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0" w:hanging="0"/>
        <w:jc w:val="both"/>
        <w:rPr>
          <w:color w:val="auto"/>
          <w:shd w:fill="auto" w:val="clear"/>
        </w:rPr>
      </w:pPr>
      <w:r>
        <w:rPr>
          <w:rFonts w:eastAsia="Verdana" w:cs="Verdana" w:ascii="Verdana" w:hAnsi="Verdana"/>
          <w:b/>
          <w:color w:val="000000"/>
          <w:sz w:val="18"/>
          <w:szCs w:val="18"/>
          <w:shd w:fill="auto" w:val="clear"/>
        </w:rPr>
        <w:t>6.13</w:t>
      </w:r>
      <w:r>
        <w:rPr>
          <w:rFonts w:eastAsia="Verdana" w:cs="Verdana" w:ascii="Verdana" w:hAnsi="Verdana"/>
          <w:color w:val="000000"/>
          <w:sz w:val="18"/>
          <w:szCs w:val="18"/>
          <w:shd w:fill="auto" w:val="clear"/>
        </w:rPr>
        <w:t xml:space="preserve"> - Ocorrendo a situação a que se refere este item, o pregoeiro poderá negociar com o licitante para que seja obtido preço melhor.</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7 </w:t>
      </w:r>
      <w:r>
        <w:rPr>
          <w:rFonts w:eastAsia="Verdana" w:cs="Verdana" w:ascii="Verdana" w:hAnsi="Verdana"/>
          <w:b/>
          <w:color w:val="000000"/>
          <w:sz w:val="18"/>
          <w:szCs w:val="18"/>
          <w:shd w:fill="auto" w:val="clear"/>
        </w:rPr>
        <w:t>- DA</w:t>
      </w:r>
      <w:r>
        <w:rPr>
          <w:rFonts w:eastAsia="Verdana" w:cs="Verdana" w:ascii="Verdana" w:hAnsi="Verdana"/>
          <w:b/>
          <w:color w:val="000000"/>
          <w:sz w:val="18"/>
          <w:szCs w:val="18"/>
          <w:shd w:fill="auto" w:val="clear"/>
        </w:rPr>
        <w:t xml:space="preserve"> FASE DE </w:t>
      </w:r>
      <w:r>
        <w:rPr>
          <w:rFonts w:eastAsia="Verdana" w:cs="Verdana" w:ascii="Verdana" w:hAnsi="Verdana"/>
          <w:b/>
          <w:color w:val="000000"/>
          <w:sz w:val="18"/>
          <w:szCs w:val="18"/>
          <w:shd w:fill="auto" w:val="clear"/>
        </w:rPr>
        <w:t>HABILITAÇÃO</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 xml:space="preserve">7.1 - </w:t>
      </w:r>
      <w:r>
        <w:rPr>
          <w:rFonts w:eastAsia="Verdana" w:cs="Verdana" w:ascii="Verdana" w:hAnsi="Verdana"/>
          <w:color w:val="000000"/>
          <w:sz w:val="18"/>
          <w:szCs w:val="18"/>
          <w:shd w:fill="auto" w:val="clear"/>
        </w:rPr>
        <w:t xml:space="preserve">Os documentos previstos na </w:t>
      </w:r>
      <w:r>
        <w:rPr>
          <w:rFonts w:eastAsia="Verdana" w:cs="Verdana" w:ascii="Verdana" w:hAnsi="Verdana"/>
          <w:b/>
          <w:color w:val="000000"/>
          <w:sz w:val="18"/>
          <w:szCs w:val="18"/>
          <w:shd w:fill="auto" w:val="clear"/>
        </w:rPr>
        <w:t>CAPA DO EDITAL</w:t>
      </w:r>
      <w:r>
        <w:rPr>
          <w:rFonts w:eastAsia="Verdana" w:cs="Verdana" w:ascii="Verdana" w:hAnsi="Verdana"/>
          <w:color w:val="000000"/>
          <w:sz w:val="18"/>
          <w:szCs w:val="18"/>
          <w:shd w:fill="auto" w:val="clear"/>
        </w:rPr>
        <w:t>, necessários e suficientes para demonstrar a capacidade do licitante de realizar o objeto da licitação, serão exigidos para fins de habilitação, nos termos dos arts. 62 a 70 da Lei nº 14.133, de 2021.</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ind w:left="284" w:hanging="0"/>
        <w:jc w:val="both"/>
        <w:rPr>
          <w:color w:val="auto"/>
          <w:shd w:fill="auto" w:val="clear"/>
        </w:rPr>
      </w:pPr>
      <w:r>
        <w:rPr>
          <w:rFonts w:eastAsia="Verdana" w:cs="Verdana" w:ascii="Verdana" w:hAnsi="Verdana"/>
          <w:b/>
          <w:color w:val="000000"/>
          <w:sz w:val="18"/>
          <w:szCs w:val="18"/>
          <w:shd w:fill="auto" w:val="clear"/>
        </w:rPr>
        <w:t>7.1.1 -</w:t>
      </w:r>
      <w:r>
        <w:rPr>
          <w:rFonts w:eastAsia="Arial Unicode MS" w:cs="Arial Unicode MS" w:ascii="Arial Unicode MS" w:hAnsi="Arial Unicode MS"/>
          <w:color w:val="000000"/>
          <w:sz w:val="18"/>
          <w:szCs w:val="18"/>
          <w:shd w:fill="auto" w:val="clear"/>
        </w:rPr>
        <w:t xml:space="preserve"> A documentação exigida para fins de habilitação jurídica, fiscal, social e trabalhista e econômico-ﬁnanceira, poderá ser substituída pelo registro cadastral no SICAF.</w:t>
      </w:r>
    </w:p>
    <w:p>
      <w:pPr>
        <w:pStyle w:val="Normal1"/>
        <w:pBdr/>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7.1.2 -</w:t>
      </w:r>
      <w:r>
        <w:rPr>
          <w:rFonts w:eastAsia="Verdana" w:cs="Verdana" w:ascii="Verdana" w:hAnsi="Verdana"/>
          <w:color w:val="000000"/>
          <w:sz w:val="18"/>
          <w:szCs w:val="18"/>
          <w:shd w:fill="auto" w:val="clear"/>
        </w:rPr>
        <w:t xml:space="preserve"> Os documentos apresentados para habilitação </w:t>
      </w:r>
      <w:r>
        <w:rPr>
          <w:rFonts w:eastAsia="Verdana" w:cs="Verdana" w:ascii="Verdana" w:hAnsi="Verdana"/>
          <w:b/>
          <w:color w:val="000000"/>
          <w:sz w:val="18"/>
          <w:szCs w:val="18"/>
          <w:shd w:fill="auto" w:val="clear"/>
        </w:rPr>
        <w:t xml:space="preserve">deverão estar </w:t>
      </w:r>
      <w:r>
        <w:rPr>
          <w:rFonts w:eastAsia="Verdana" w:cs="Verdana" w:ascii="Verdana" w:hAnsi="Verdana"/>
          <w:color w:val="000000"/>
          <w:sz w:val="18"/>
          <w:szCs w:val="18"/>
          <w:shd w:fill="auto" w:val="clear"/>
        </w:rPr>
        <w:t xml:space="preserve">em nome da empresa licitante e com indicação do número do </w:t>
      </w:r>
      <w:r>
        <w:rPr>
          <w:rFonts w:eastAsia="Verdana" w:cs="Verdana" w:ascii="Verdana" w:hAnsi="Verdana"/>
          <w:b/>
          <w:color w:val="000000"/>
          <w:sz w:val="18"/>
          <w:szCs w:val="18"/>
          <w:shd w:fill="auto" w:val="clear"/>
        </w:rPr>
        <w:t xml:space="preserve">CNPJ </w:t>
      </w:r>
      <w:r>
        <w:rPr>
          <w:rFonts w:eastAsia="Verdana" w:cs="Verdana" w:ascii="Verdana" w:hAnsi="Verdana"/>
          <w:color w:val="000000"/>
          <w:sz w:val="18"/>
          <w:szCs w:val="18"/>
          <w:shd w:fill="auto" w:val="clear"/>
        </w:rPr>
        <w:t xml:space="preserve">e </w:t>
      </w:r>
      <w:r>
        <w:rPr>
          <w:rFonts w:eastAsia="Verdana" w:cs="Verdana" w:ascii="Verdana" w:hAnsi="Verdana"/>
          <w:b/>
          <w:color w:val="000000"/>
          <w:sz w:val="18"/>
          <w:szCs w:val="18"/>
          <w:shd w:fill="auto" w:val="clear"/>
        </w:rPr>
        <w:t>endereço</w:t>
      </w:r>
      <w:r>
        <w:rPr>
          <w:rFonts w:eastAsia="Verdana" w:cs="Verdana" w:ascii="Verdana" w:hAnsi="Verdana"/>
          <w:color w:val="000000"/>
          <w:sz w:val="18"/>
          <w:szCs w:val="18"/>
          <w:shd w:fill="auto" w:val="clear"/>
        </w:rPr>
        <w:t>.</w:t>
      </w:r>
    </w:p>
    <w:p>
      <w:pPr>
        <w:pStyle w:val="Normal1"/>
        <w:ind w:left="284" w:hanging="0"/>
        <w:jc w:val="both"/>
        <w:rPr>
          <w:color w:val="auto"/>
          <w:shd w:fill="auto" w:val="clear"/>
        </w:rPr>
      </w:pPr>
      <w:r>
        <w:rPr>
          <w:rFonts w:eastAsia="Verdana" w:cs="Verdana" w:ascii="Verdana" w:hAnsi="Verdana"/>
          <w:b/>
          <w:color w:val="000000"/>
          <w:sz w:val="18"/>
          <w:szCs w:val="18"/>
          <w:shd w:fill="auto" w:val="clear"/>
        </w:rPr>
        <w:t>a) Se o licitante for participar por meio da matriz</w:t>
      </w:r>
      <w:r>
        <w:rPr>
          <w:rFonts w:eastAsia="Verdana" w:cs="Verdana" w:ascii="Verdana" w:hAnsi="Verdana"/>
          <w:color w:val="000000"/>
          <w:sz w:val="18"/>
          <w:szCs w:val="18"/>
          <w:shd w:fill="auto" w:val="clear"/>
        </w:rPr>
        <w:t>, todos os documentos deverão estar em nome desta, exceto quando expressamente ampliada a validade para todos os estabelecimentos da empresa, matriz e filiais.</w:t>
      </w:r>
    </w:p>
    <w:p>
      <w:pPr>
        <w:pStyle w:val="Normal1"/>
        <w:ind w:left="284" w:hanging="0"/>
        <w:jc w:val="both"/>
        <w:rPr>
          <w:color w:val="auto"/>
          <w:shd w:fill="auto" w:val="clear"/>
        </w:rPr>
      </w:pPr>
      <w:r>
        <w:rPr>
          <w:rFonts w:eastAsia="Verdana" w:cs="Verdana" w:ascii="Verdana" w:hAnsi="Verdana"/>
          <w:b/>
          <w:color w:val="000000"/>
          <w:sz w:val="18"/>
          <w:szCs w:val="18"/>
          <w:shd w:fill="auto" w:val="clear"/>
        </w:rPr>
        <w:t>b)</w:t>
      </w:r>
      <w:r>
        <w:rPr>
          <w:rFonts w:eastAsia="Verdana" w:cs="Verdana" w:ascii="Verdana" w:hAnsi="Verdana"/>
          <w:color w:val="000000"/>
          <w:sz w:val="18"/>
          <w:szCs w:val="18"/>
          <w:shd w:fill="auto" w:val="clear"/>
        </w:rPr>
        <w:t xml:space="preserve"> </w:t>
      </w:r>
      <w:r>
        <w:rPr>
          <w:rFonts w:eastAsia="Verdana" w:cs="Verdana" w:ascii="Verdana" w:hAnsi="Verdana"/>
          <w:b/>
          <w:color w:val="000000"/>
          <w:sz w:val="18"/>
          <w:szCs w:val="18"/>
          <w:shd w:fill="auto" w:val="clear"/>
        </w:rPr>
        <w:t>Se o licitante for participar por meio da filial</w:t>
      </w:r>
      <w:r>
        <w:rPr>
          <w:rFonts w:eastAsia="Verdana" w:cs="Verdana" w:ascii="Verdana" w:hAnsi="Verdana"/>
          <w:color w:val="000000"/>
          <w:sz w:val="18"/>
          <w:szCs w:val="18"/>
          <w:shd w:fill="auto" w:val="clear"/>
        </w:rPr>
        <w:t>, todos os documentos deverão estar em nome desta, exceto quando expressamente ampliada a validade para todos os estabelecimentos da empresa, matriz e filiais.</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 xml:space="preserve">7.2 - </w:t>
      </w:r>
      <w:r>
        <w:rPr>
          <w:rFonts w:eastAsia="Verdana" w:cs="Verdana" w:ascii="Verdana" w:hAnsi="Verdana"/>
          <w:color w:val="000000"/>
          <w:sz w:val="18"/>
          <w:szCs w:val="18"/>
          <w:shd w:fill="auto" w:val="clear"/>
        </w:rPr>
        <w:t>A habilitação será verificada por meio do Sicaf, nos documentos por ele abrangidos.</w:t>
      </w:r>
    </w:p>
    <w:p>
      <w:pPr>
        <w:pStyle w:val="Normal1"/>
        <w:pBdr/>
        <w:jc w:val="both"/>
        <w:rPr>
          <w:rFonts w:ascii="Verdana" w:hAnsi="Verdana" w:eastAsia="Verdana" w:cs="Verdana"/>
          <w:b/>
          <w:b/>
          <w:strike/>
          <w:color w:val="auto"/>
          <w:sz w:val="18"/>
          <w:szCs w:val="18"/>
          <w:shd w:fill="auto" w:val="clear"/>
        </w:rPr>
      </w:pPr>
      <w:r>
        <w:rPr>
          <w:rFonts w:eastAsia="Verdana" w:cs="Verdana" w:ascii="Verdana" w:hAnsi="Verdana"/>
          <w:b/>
          <w:strike/>
          <w:color w:val="000000"/>
          <w:sz w:val="18"/>
          <w:szCs w:val="18"/>
          <w:shd w:fill="auto" w:val="clear"/>
        </w:rPr>
      </w:r>
    </w:p>
    <w:p>
      <w:pPr>
        <w:pStyle w:val="Normal1"/>
        <w:pBdr/>
        <w:ind w:left="284" w:hanging="0"/>
        <w:jc w:val="both"/>
        <w:rPr>
          <w:color w:val="auto"/>
          <w:shd w:fill="auto" w:val="clear"/>
        </w:rPr>
      </w:pPr>
      <w:r>
        <w:rPr>
          <w:rFonts w:eastAsia="Verdana" w:cs="Verdana" w:ascii="Verdana" w:hAnsi="Verdana"/>
          <w:b/>
          <w:color w:val="000000"/>
          <w:sz w:val="18"/>
          <w:szCs w:val="18"/>
          <w:shd w:fill="auto" w:val="clear"/>
        </w:rPr>
        <w:t xml:space="preserve">7.2.1 - </w:t>
      </w:r>
      <w:r>
        <w:rPr>
          <w:rFonts w:eastAsia="Verdana" w:cs="Verdana" w:ascii="Verdana" w:hAnsi="Verdana"/>
          <w:color w:val="000000"/>
          <w:sz w:val="18"/>
          <w:szCs w:val="18"/>
          <w:shd w:fill="auto" w:val="clear"/>
        </w:rPr>
        <w:t>Somente haverá a necessidade de comprovação do preenchimento de requisitos mediante apresentação dos documentos originais não-digitais quando houver dúvida em relação à integridade do documento digital.</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7.3 -</w:t>
      </w:r>
      <w:r>
        <w:rPr>
          <w:rFonts w:eastAsia="Verdana" w:cs="Verdana" w:ascii="Verdana" w:hAnsi="Verdana"/>
          <w:color w:val="000000"/>
          <w:sz w:val="18"/>
          <w:szCs w:val="18"/>
          <w:shd w:fill="auto" w:val="clear"/>
        </w:rPr>
        <w:tab/>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ind w:left="284" w:hanging="0"/>
        <w:jc w:val="both"/>
        <w:rPr>
          <w:color w:val="auto"/>
          <w:shd w:fill="auto" w:val="clear"/>
        </w:rPr>
      </w:pPr>
      <w:r>
        <w:rPr>
          <w:rFonts w:eastAsia="Verdana" w:cs="Verdana" w:ascii="Verdana" w:hAnsi="Verdana"/>
          <w:b/>
          <w:color w:val="000000"/>
          <w:sz w:val="18"/>
          <w:szCs w:val="18"/>
          <w:shd w:fill="auto" w:val="clear"/>
        </w:rPr>
        <w:t>7.3.1 -</w:t>
        <w:tab/>
      </w:r>
      <w:r>
        <w:rPr>
          <w:rFonts w:eastAsia="Verdana" w:cs="Verdana" w:ascii="Verdana" w:hAnsi="Verdana"/>
          <w:color w:val="000000"/>
          <w:sz w:val="18"/>
          <w:szCs w:val="18"/>
          <w:shd w:fill="auto" w:val="clear"/>
        </w:rPr>
        <w:t>A não observância do disposto no item anterior poderá ensejar desclassificação no momento da habilitação.</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7.4 -</w:t>
      </w:r>
      <w:r>
        <w:rPr>
          <w:rFonts w:eastAsia="Verdana" w:cs="Verdana" w:ascii="Verdana" w:hAnsi="Verdana"/>
          <w:color w:val="000000"/>
          <w:sz w:val="18"/>
          <w:szCs w:val="18"/>
          <w:shd w:fill="auto" w:val="clear"/>
        </w:rPr>
        <w:t xml:space="preserve"> A verificação pelo pregoeiro, em sítios eletrônicos oficiais de órgãos e entidades emissores de certidões constitui meio legal de prova, para fins de habilitação.</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7.4.1 -</w:t>
        <w:tab/>
        <w:t>Os documentos exigidos para habilitação que não estejam contemplados no Sicaf serão enviados por meio do sistema, em formato digital, no prazo de 2 (duas horas), contado da solicitação do pregoeiro.</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7.4.1.1 -</w:t>
      </w:r>
      <w:r>
        <w:rPr>
          <w:rFonts w:eastAsia="Verdana" w:cs="Verdana" w:ascii="Verdana" w:hAnsi="Verdana"/>
          <w:color w:val="000000"/>
          <w:sz w:val="18"/>
          <w:szCs w:val="18"/>
          <w:shd w:fill="auto" w:val="clear"/>
        </w:rPr>
        <w:t xml:space="preserve"> É facultado ao pregoeiro prorrogar o prazo estabelecido, a partir de solicitação fundamentada feita no chat pelo licitante, antes de findo o prazo.</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 xml:space="preserve">7.5 - </w:t>
      </w:r>
      <w:r>
        <w:rPr>
          <w:rFonts w:eastAsia="Verdana" w:cs="Verdana" w:ascii="Verdana" w:hAnsi="Verdana"/>
          <w:color w:val="000000"/>
          <w:sz w:val="18"/>
          <w:szCs w:val="18"/>
          <w:shd w:fill="auto" w:val="clear"/>
        </w:rPr>
        <w:t>A verificação no Sicaf ou a exigência dos documentos nele não contidos somente será feita em relação ao licitante vencedor.</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7.6 -</w:t>
      </w:r>
      <w:r>
        <w:rPr>
          <w:rFonts w:eastAsia="Verdana" w:cs="Verdana" w:ascii="Verdana" w:hAnsi="Verdana"/>
          <w:color w:val="000000"/>
          <w:sz w:val="18"/>
          <w:szCs w:val="18"/>
          <w:shd w:fill="auto" w:val="clear"/>
        </w:rPr>
        <w:t xml:space="preserve"> Após a entrega dos documentos para habilitação, não será permitida a substituição ou a apresentação de novos documentos, salvo em sede de diligência, para:</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7.6.1 -</w:t>
      </w:r>
      <w:r>
        <w:rPr>
          <w:rFonts w:eastAsia="Verdana" w:cs="Verdana" w:ascii="Verdana" w:hAnsi="Verdana"/>
          <w:color w:val="000000"/>
          <w:sz w:val="18"/>
          <w:szCs w:val="18"/>
          <w:shd w:fill="auto" w:val="clear"/>
        </w:rPr>
        <w:t xml:space="preserve"> complementação de informações acerca dos documentos já apresentados pelos licitantes e desde que necessária para apurar fatos existentes à época da abertura do certame; e</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7.6.2 -</w:t>
      </w:r>
      <w:r>
        <w:rPr>
          <w:rFonts w:eastAsia="Verdana" w:cs="Verdana" w:ascii="Verdana" w:hAnsi="Verdana"/>
          <w:color w:val="000000"/>
          <w:sz w:val="18"/>
          <w:szCs w:val="18"/>
          <w:shd w:fill="auto" w:val="clear"/>
        </w:rPr>
        <w:t xml:space="preserve"> atualização de documentos cuja validade tenha expirado após a data de recebimento das propostas;</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7.7 -</w:t>
      </w:r>
      <w:r>
        <w:rPr>
          <w:rFonts w:eastAsia="Arial Unicode MS" w:cs="Arial Unicode MS" w:ascii="Arial Unicode MS" w:hAnsi="Arial Unicode MS"/>
          <w:color w:val="000000"/>
          <w:sz w:val="18"/>
          <w:szCs w:val="18"/>
          <w:shd w:fill="auto" w:val="clear"/>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7.8 -</w:t>
      </w:r>
      <w:r>
        <w:rPr>
          <w:rFonts w:eastAsia="Verdana" w:cs="Verdana" w:ascii="Verdana" w:hAnsi="Verdana"/>
          <w:color w:val="000000"/>
          <w:sz w:val="18"/>
          <w:szCs w:val="18"/>
          <w:shd w:fill="auto" w:val="clear"/>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pPr>
        <w:pStyle w:val="Normal1"/>
        <w:pBdr/>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7.9 -</w:t>
      </w:r>
      <w:r>
        <w:rPr>
          <w:rFonts w:eastAsia="Verdana" w:cs="Verdana" w:ascii="Verdana" w:hAnsi="Verdana"/>
          <w:color w:val="000000"/>
          <w:sz w:val="18"/>
          <w:szCs w:val="18"/>
          <w:shd w:fill="auto" w:val="clear"/>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8 - DOS RECURSOS</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8.1 -</w:t>
      </w:r>
      <w:r>
        <w:rPr>
          <w:rFonts w:eastAsia="Verdana" w:cs="Verdana" w:ascii="Verdana" w:hAnsi="Verdana"/>
          <w:color w:val="000000"/>
          <w:sz w:val="18"/>
          <w:szCs w:val="18"/>
          <w:shd w:fill="auto" w:val="clear"/>
        </w:rPr>
        <w:t xml:space="preserve"> A interposição de recurso referente ao julgamento das propostas, à habilitação ou inabilitação de licitantes, à anulação ou revogação da licitação, observará o disposto no art. 165 da Lei nº 14.133, de 2021.</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8.2 - </w:t>
      </w:r>
      <w:r>
        <w:rPr>
          <w:rFonts w:eastAsia="Verdana" w:cs="Verdana" w:ascii="Verdana" w:hAnsi="Verdana"/>
          <w:color w:val="000000"/>
          <w:sz w:val="18"/>
          <w:szCs w:val="18"/>
          <w:shd w:fill="auto" w:val="clear"/>
        </w:rPr>
        <w:t>O prazo recursal é de 3 (três) dias úteis, contados da data de intimação ou de lavratura da ata.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8.3 - </w:t>
      </w:r>
      <w:r>
        <w:rPr>
          <w:rFonts w:eastAsia="Verdana" w:cs="Verdana" w:ascii="Verdana" w:hAnsi="Verdana"/>
          <w:color w:val="000000"/>
          <w:sz w:val="18"/>
          <w:szCs w:val="18"/>
          <w:shd w:fill="auto" w:val="clear"/>
        </w:rPr>
        <w:t>Quando o recurso apresentado impugnar o julgamento das propostas ou o ato de habilitação ou inabilitação do licitante: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8.3.1 -</w:t>
      </w:r>
      <w:r>
        <w:rPr>
          <w:rFonts w:eastAsia="Verdana" w:cs="Verdana" w:ascii="Verdana" w:hAnsi="Verdana"/>
          <w:color w:val="000000"/>
          <w:sz w:val="18"/>
          <w:szCs w:val="18"/>
          <w:shd w:fill="auto" w:val="clear"/>
        </w:rPr>
        <w:tab/>
        <w:t>a intenção de recorrer deverá ser manifestada imediatamente, sob pena de preclusão;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8.3.2 -</w:t>
      </w:r>
      <w:r>
        <w:rPr>
          <w:rFonts w:eastAsia="Verdana" w:cs="Verdana" w:ascii="Verdana" w:hAnsi="Verdana"/>
          <w:color w:val="000000"/>
          <w:sz w:val="18"/>
          <w:szCs w:val="18"/>
          <w:shd w:fill="auto" w:val="clear"/>
        </w:rPr>
        <w:t xml:space="preserve"> o prazo para apresentação das razões recursais será iniciado na data de intimação ou de lavratura da ata de habilitação ou inabilitação;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8.4 -</w:t>
      </w:r>
      <w:r>
        <w:rPr>
          <w:rFonts w:eastAsia="Verdana" w:cs="Verdana" w:ascii="Verdana" w:hAnsi="Verdana"/>
          <w:color w:val="000000"/>
          <w:sz w:val="18"/>
          <w:szCs w:val="18"/>
          <w:shd w:fill="auto" w:val="clear"/>
        </w:rPr>
        <w:t xml:space="preserve"> Os recursos deverão ser encaminhados em campo próprio do sistema.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8.5 -</w:t>
      </w:r>
      <w:r>
        <w:rPr>
          <w:rFonts w:eastAsia="Verdana" w:cs="Verdana" w:ascii="Verdana" w:hAnsi="Verdana"/>
          <w:color w:val="000000"/>
          <w:sz w:val="18"/>
          <w:szCs w:val="18"/>
          <w:shd w:fill="auto" w:val="clear"/>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8.6 -</w:t>
      </w:r>
      <w:r>
        <w:rPr>
          <w:rFonts w:eastAsia="Verdana" w:cs="Verdana" w:ascii="Verdana" w:hAnsi="Verdana"/>
          <w:color w:val="000000"/>
          <w:sz w:val="18"/>
          <w:szCs w:val="18"/>
          <w:shd w:fill="auto" w:val="clear"/>
        </w:rPr>
        <w:t xml:space="preserve"> Os recursos interpostos fora do prazo não serão conhecidos.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8.7 -</w:t>
      </w:r>
      <w:r>
        <w:rPr>
          <w:rFonts w:eastAsia="Verdana" w:cs="Verdana" w:ascii="Verdana" w:hAnsi="Verdana"/>
          <w:color w:val="000000"/>
          <w:sz w:val="18"/>
          <w:szCs w:val="18"/>
          <w:shd w:fill="auto" w:val="clear"/>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8.8 - </w:t>
      </w:r>
      <w:r>
        <w:rPr>
          <w:rFonts w:eastAsia="Verdana" w:cs="Verdana" w:ascii="Verdana" w:hAnsi="Verdana"/>
          <w:color w:val="000000"/>
          <w:sz w:val="18"/>
          <w:szCs w:val="18"/>
          <w:shd w:fill="auto" w:val="clear"/>
        </w:rPr>
        <w:t xml:space="preserve">O recurso e o pedido de reconsideração terão efeito suspensivo do ato ou da decisão recorrida até que sobrevenha decisão final da autoridade competente.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8.9 -</w:t>
      </w:r>
      <w:r>
        <w:rPr>
          <w:rFonts w:eastAsia="Verdana" w:cs="Verdana" w:ascii="Verdana" w:hAnsi="Verdana"/>
          <w:color w:val="000000"/>
          <w:sz w:val="18"/>
          <w:szCs w:val="18"/>
          <w:shd w:fill="auto" w:val="clear"/>
        </w:rPr>
        <w:t xml:space="preserve"> O acolhimento do recurso invalida tão somente os atos insuscetíveis de </w:t>
      </w:r>
      <w:r>
        <w:rPr>
          <w:rFonts w:eastAsia="Verdana" w:cs="Verdana" w:ascii="Verdana" w:hAnsi="Verdana"/>
          <w:b/>
          <w:color w:val="000000"/>
          <w:sz w:val="18"/>
          <w:szCs w:val="18"/>
          <w:shd w:fill="auto" w:val="clear"/>
        </w:rPr>
        <w:t xml:space="preserve">aproveitamento.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pPr>
      <w:r>
        <w:rPr>
          <w:rFonts w:eastAsia="Verdana" w:cs="Verdana" w:ascii="Verdana" w:hAnsi="Verdana"/>
          <w:b/>
          <w:color w:val="000000"/>
          <w:sz w:val="18"/>
          <w:szCs w:val="18"/>
          <w:shd w:fill="auto" w:val="clear"/>
        </w:rPr>
        <w:t>8.10 -</w:t>
      </w:r>
      <w:r>
        <w:rPr>
          <w:rFonts w:eastAsia="Verdana" w:cs="Verdana" w:ascii="Verdana" w:hAnsi="Verdana"/>
          <w:color w:val="000000"/>
          <w:sz w:val="18"/>
          <w:szCs w:val="18"/>
          <w:shd w:fill="auto" w:val="clear"/>
        </w:rPr>
        <w:t xml:space="preserve"> Os autos do processo permanecerão com vista franqueada aos interessados, por meio de solicitação através do e-mail: &lt;</w:t>
      </w:r>
      <w:hyperlink r:id="rId12">
        <w:r>
          <w:rPr>
            <w:rFonts w:eastAsia="Verdana" w:cs="Verdana" w:ascii="Verdana" w:hAnsi="Verdana"/>
            <w:color w:val="000000"/>
            <w:sz w:val="18"/>
            <w:szCs w:val="18"/>
            <w:u w:val="single"/>
            <w:shd w:fill="auto" w:val="clear"/>
          </w:rPr>
          <w:t>contratacao@tjes.jus.br</w:t>
        </w:r>
      </w:hyperlink>
      <w:r>
        <w:rPr>
          <w:rFonts w:eastAsia="Verdana" w:cs="Verdana" w:ascii="Verdana" w:hAnsi="Verdana"/>
          <w:color w:val="000000"/>
          <w:sz w:val="18"/>
          <w:szCs w:val="18"/>
          <w:shd w:fill="auto" w:val="clear"/>
        </w:rPr>
        <w:t>&gt;.</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9 - DAS MICROEMPRESAS E EMPRESAS DE PEQUENO PORTE</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360" w:leader="none"/>
          <w:tab w:val="left" w:pos="576" w:leader="none"/>
          <w:tab w:val="left" w:pos="9356" w:leader="none"/>
        </w:tabs>
        <w:ind w:right="-38" w:hanging="0"/>
        <w:jc w:val="both"/>
        <w:rPr>
          <w:color w:val="auto"/>
          <w:shd w:fill="auto" w:val="clear"/>
        </w:rPr>
      </w:pPr>
      <w:r>
        <w:rPr>
          <w:rFonts w:eastAsia="Verdana" w:cs="Verdana" w:ascii="Verdana" w:hAnsi="Verdana"/>
          <w:b/>
          <w:color w:val="000000"/>
          <w:sz w:val="18"/>
          <w:szCs w:val="18"/>
          <w:shd w:fill="auto" w:val="clear"/>
        </w:rPr>
        <w:t xml:space="preserve">9.1 - </w:t>
      </w:r>
      <w:r>
        <w:rPr>
          <w:rFonts w:eastAsia="Verdana" w:cs="Verdana" w:ascii="Verdana" w:hAnsi="Verdana"/>
          <w:color w:val="000000"/>
          <w:sz w:val="18"/>
          <w:szCs w:val="18"/>
          <w:shd w:fill="auto" w:val="clear"/>
        </w:rPr>
        <w:t>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w:t>
      </w:r>
    </w:p>
    <w:p>
      <w:pPr>
        <w:pStyle w:val="Normal1"/>
        <w:tabs>
          <w:tab w:val="clear" w:pos="720"/>
          <w:tab w:val="left" w:pos="9356" w:leader="none"/>
        </w:tabs>
        <w:ind w:right="-38" w:hanging="0"/>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widowControl w:val="false"/>
        <w:tabs>
          <w:tab w:val="clear" w:pos="720"/>
          <w:tab w:val="left" w:pos="0" w:leader="none"/>
          <w:tab w:val="left" w:pos="1003" w:leader="none"/>
          <w:tab w:val="left" w:pos="9356" w:leader="none"/>
        </w:tabs>
        <w:ind w:right="-38" w:hanging="0"/>
        <w:jc w:val="both"/>
        <w:rPr>
          <w:color w:val="auto"/>
          <w:shd w:fill="auto" w:val="clear"/>
        </w:rPr>
      </w:pPr>
      <w:r>
        <w:rPr>
          <w:rFonts w:eastAsia="Verdana" w:cs="Verdana" w:ascii="Verdana" w:hAnsi="Verdana"/>
          <w:b/>
          <w:color w:val="000000"/>
          <w:sz w:val="18"/>
          <w:szCs w:val="18"/>
          <w:shd w:fill="auto" w:val="clear"/>
        </w:rPr>
        <w:t>9.2 -</w:t>
      </w:r>
      <w:r>
        <w:rPr>
          <w:rFonts w:eastAsia="Verdana" w:cs="Verdana" w:ascii="Verdana" w:hAnsi="Verdana"/>
          <w:color w:val="000000"/>
          <w:sz w:val="18"/>
          <w:szCs w:val="18"/>
          <w:shd w:fill="auto" w:val="clear"/>
        </w:rPr>
        <w:t xml:space="preserve"> Nos casos de microempresas, empresas de pequeno porte ou equiparadas, não se exige comprovação de regularidade fiscal e trabalhista para fins de habilitação, mas somente para formalização da contratação, observadas as seguintes regras:</w:t>
      </w:r>
    </w:p>
    <w:p>
      <w:pPr>
        <w:pStyle w:val="Normal1"/>
        <w:widowControl w:val="false"/>
        <w:tabs>
          <w:tab w:val="clear" w:pos="720"/>
          <w:tab w:val="left" w:pos="1118" w:leader="none"/>
          <w:tab w:val="left" w:pos="9356" w:leader="none"/>
        </w:tabs>
        <w:ind w:left="284" w:right="-38"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A licitante deverá apresentar, à época da habilitação, todos os documentos exigidos para efeito de comprovação de regularidade fiscal e trabalhista, mesmo que apresentem alguma restrição;</w:t>
      </w:r>
    </w:p>
    <w:p>
      <w:pPr>
        <w:pStyle w:val="Normal1"/>
        <w:widowControl w:val="false"/>
        <w:tabs>
          <w:tab w:val="clear" w:pos="720"/>
          <w:tab w:val="left" w:pos="1084" w:leader="none"/>
          <w:tab w:val="left" w:pos="9356" w:leader="none"/>
        </w:tabs>
        <w:spacing w:lineRule="auto" w:line="235"/>
        <w:ind w:left="284" w:right="-38"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pPr>
        <w:pStyle w:val="Normal1"/>
        <w:widowControl w:val="false"/>
        <w:tabs>
          <w:tab w:val="clear" w:pos="720"/>
          <w:tab w:val="left" w:pos="1113" w:leader="none"/>
          <w:tab w:val="left" w:pos="9356" w:leader="none"/>
        </w:tabs>
        <w:ind w:left="284" w:right="-38" w:hanging="0"/>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O prazo a que se refere o item anterior poderá, a critério da Administração Pública, ser prorrogado por igual período;</w:t>
      </w:r>
    </w:p>
    <w:p>
      <w:pPr>
        <w:pStyle w:val="Normal1"/>
        <w:widowControl w:val="false"/>
        <w:tabs>
          <w:tab w:val="clear" w:pos="720"/>
          <w:tab w:val="left" w:pos="1099" w:leader="none"/>
          <w:tab w:val="left" w:pos="9356" w:leader="none"/>
        </w:tabs>
        <w:spacing w:lineRule="auto" w:line="235"/>
        <w:ind w:left="284" w:right="-38" w:hanging="0"/>
        <w:jc w:val="both"/>
        <w:rPr>
          <w:color w:val="auto"/>
          <w:shd w:fill="auto" w:val="clear"/>
        </w:rPr>
      </w:pPr>
      <w:r>
        <w:rPr>
          <w:rFonts w:eastAsia="Verdana" w:cs="Verdana" w:ascii="Verdana" w:hAnsi="Verdana"/>
          <w:b/>
          <w:color w:val="000000"/>
          <w:sz w:val="18"/>
          <w:szCs w:val="18"/>
          <w:shd w:fill="auto" w:val="clear"/>
        </w:rPr>
        <w:t>d)</w:t>
      </w:r>
      <w:r>
        <w:rPr>
          <w:rFonts w:eastAsia="Verdana" w:cs="Verdana" w:ascii="Verdana" w:hAnsi="Verdana"/>
          <w:color w:val="000000"/>
          <w:sz w:val="18"/>
          <w:szCs w:val="18"/>
          <w:shd w:fill="auto" w:val="clear"/>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pPr>
        <w:pStyle w:val="Normal1"/>
        <w:widowControl w:val="false"/>
        <w:tabs>
          <w:tab w:val="clear" w:pos="720"/>
          <w:tab w:val="left" w:pos="1099" w:leader="none"/>
          <w:tab w:val="left" w:pos="9356" w:leader="none"/>
        </w:tabs>
        <w:ind w:left="284" w:right="-38" w:hanging="0"/>
        <w:jc w:val="both"/>
        <w:rPr>
          <w:color w:val="auto"/>
          <w:shd w:fill="auto" w:val="clear"/>
        </w:rPr>
      </w:pPr>
      <w:r>
        <w:rPr>
          <w:rFonts w:eastAsia="Verdana" w:cs="Verdana" w:ascii="Verdana" w:hAnsi="Verdana"/>
          <w:b/>
          <w:color w:val="000000"/>
          <w:sz w:val="18"/>
          <w:szCs w:val="18"/>
          <w:shd w:fill="auto" w:val="clear"/>
        </w:rPr>
        <w:t>e)</w:t>
      </w:r>
      <w:r>
        <w:rPr>
          <w:rFonts w:eastAsia="Verdana" w:cs="Verdana" w:ascii="Verdana" w:hAnsi="Verdana"/>
          <w:color w:val="000000"/>
          <w:sz w:val="18"/>
          <w:szCs w:val="18"/>
          <w:shd w:fill="auto" w:val="clear"/>
        </w:rPr>
        <w:t xml:space="preserve"> Na hipótese descrita no inciso anterior, a licitante terá o prazo de 10 (dez) dias, contado da apresentação dos documentos a que se refere o parágrafo anterior, para apresentar a certidão comprobatória de regularidade fiscal e trabalhista;</w:t>
      </w:r>
    </w:p>
    <w:p>
      <w:pPr>
        <w:pStyle w:val="Normal1"/>
        <w:widowControl w:val="false"/>
        <w:tabs>
          <w:tab w:val="clear" w:pos="720"/>
          <w:tab w:val="left" w:pos="1041" w:leader="none"/>
          <w:tab w:val="left" w:pos="9356" w:leader="none"/>
        </w:tabs>
        <w:ind w:left="284" w:right="-38" w:hanging="0"/>
        <w:jc w:val="both"/>
        <w:rPr>
          <w:color w:val="auto"/>
          <w:shd w:fill="auto" w:val="clear"/>
        </w:rPr>
      </w:pPr>
      <w:r>
        <w:rPr>
          <w:rFonts w:eastAsia="Verdana" w:cs="Verdana" w:ascii="Verdana" w:hAnsi="Verdana"/>
          <w:b/>
          <w:color w:val="000000"/>
          <w:sz w:val="18"/>
          <w:szCs w:val="18"/>
          <w:shd w:fill="auto" w:val="clear"/>
        </w:rPr>
        <w:t xml:space="preserve">f) </w:t>
      </w:r>
      <w:r>
        <w:rPr>
          <w:rFonts w:eastAsia="Verdana" w:cs="Verdana" w:ascii="Verdana" w:hAnsi="Verdana"/>
          <w:color w:val="000000"/>
          <w:sz w:val="18"/>
          <w:szCs w:val="18"/>
          <w:shd w:fill="auto" w:val="clear"/>
        </w:rPr>
        <w:t>O prazo a que se refere o item anterior poderá, a critério da Administração Pública, ser prorrogado por igual período, uma única vez, se demonstrado pela licitante a impossibilidade de o órgão competente emitir a certidão.</w:t>
      </w:r>
    </w:p>
    <w:p>
      <w:pPr>
        <w:pStyle w:val="Normal1"/>
        <w:tabs>
          <w:tab w:val="clear" w:pos="720"/>
          <w:tab w:val="left" w:pos="9356" w:leader="none"/>
        </w:tabs>
        <w:spacing w:lineRule="auto" w:line="240" w:before="6" w:after="0"/>
        <w:ind w:right="-38" w:hanging="0"/>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10 - DOS CRITÉRIOS DE JULGAMENTO</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10.1 - </w:t>
      </w:r>
      <w:r>
        <w:rPr>
          <w:rFonts w:eastAsia="Verdana" w:cs="Verdana" w:ascii="Verdana" w:hAnsi="Verdana"/>
          <w:color w:val="000000"/>
          <w:sz w:val="18"/>
          <w:szCs w:val="18"/>
          <w:shd w:fill="auto" w:val="clear"/>
        </w:rPr>
        <w:t>No julgamento das propostas, será considerada vencedora a de menor valor unitário do Item, desde que atendidas as especificações constantes deste Edital.</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10.2 - </w:t>
      </w:r>
      <w:r>
        <w:rPr>
          <w:rFonts w:eastAsia="Verdana" w:cs="Verdana" w:ascii="Verdana" w:hAnsi="Verdana"/>
          <w:color w:val="000000"/>
          <w:sz w:val="18"/>
          <w:szCs w:val="18"/>
          <w:shd w:fill="auto" w:val="clear"/>
        </w:rPr>
        <w:t xml:space="preserve">O objeto deste PREGÃO será adjudicado por </w:t>
      </w:r>
      <w:r>
        <w:rPr>
          <w:rFonts w:eastAsia="Verdana" w:cs="Verdana" w:ascii="Verdana" w:hAnsi="Verdana"/>
          <w:b/>
          <w:color w:val="000000"/>
          <w:sz w:val="18"/>
          <w:szCs w:val="18"/>
          <w:shd w:fill="auto" w:val="clear"/>
        </w:rPr>
        <w:t xml:space="preserve">ITEM </w:t>
      </w:r>
      <w:r>
        <w:rPr>
          <w:rFonts w:eastAsia="Verdana" w:cs="Verdana" w:ascii="Verdana" w:hAnsi="Verdana"/>
          <w:color w:val="000000"/>
          <w:sz w:val="18"/>
          <w:szCs w:val="18"/>
          <w:shd w:fill="auto" w:val="clear"/>
        </w:rPr>
        <w:t>ao licitante cuja proposta seja considerada vencedora.</w:t>
      </w:r>
    </w:p>
    <w:p>
      <w:pPr>
        <w:pStyle w:val="Normal1"/>
        <w:pBdr/>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11 - DAS INFRAÇÕES ADMINISTRATIVAS E SANÇÕES</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 </w:t>
      </w:r>
      <w:r>
        <w:rPr>
          <w:rFonts w:eastAsia="Verdana" w:cs="Verdana" w:ascii="Verdana" w:hAnsi="Verdana"/>
          <w:color w:val="000000"/>
          <w:sz w:val="18"/>
          <w:szCs w:val="18"/>
          <w:shd w:fill="auto" w:val="clear"/>
        </w:rPr>
        <w:t xml:space="preserve">- Comete infração administrativa, nos termos da Lei nº 14.133/21, o licitante que, com dolo ou culpa: </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11.1.1 - </w:t>
      </w:r>
      <w:r>
        <w:rPr>
          <w:rFonts w:eastAsia="Verdana" w:cs="Verdana" w:ascii="Verdana" w:hAnsi="Verdana"/>
          <w:color w:val="000000"/>
          <w:sz w:val="18"/>
          <w:szCs w:val="18"/>
          <w:shd w:fill="auto" w:val="clear"/>
        </w:rPr>
        <w:t>Deixar de entregar a documentação exigida para o certame ou não entregar qualquer documento que tenha sido solicitado pelo(a) Pregoeiro(a) durante o certame;</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11.1.2 -</w:t>
      </w:r>
      <w:r>
        <w:rPr>
          <w:rFonts w:eastAsia="Verdana" w:cs="Verdana" w:ascii="Verdana" w:hAnsi="Verdana"/>
          <w:color w:val="000000"/>
          <w:sz w:val="18"/>
          <w:szCs w:val="18"/>
          <w:shd w:fill="auto" w:val="clear"/>
        </w:rPr>
        <w:t xml:space="preserve"> Salvo em decorrência de fato superveniente devidamente justificado, não mantiver a proposta.</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11.1.3 - </w:t>
      </w:r>
      <w:r>
        <w:rPr>
          <w:rFonts w:eastAsia="Verdana" w:cs="Verdana" w:ascii="Verdana" w:hAnsi="Verdana"/>
          <w:color w:val="000000"/>
          <w:sz w:val="18"/>
          <w:szCs w:val="18"/>
          <w:shd w:fill="auto" w:val="clear"/>
        </w:rPr>
        <w:t>Não celebrar o contrato ou não entregar a documentação exigida para a contratação, quando convocado dentro do prazo de validade de sua proposta;</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11.1.3.1 - </w:t>
      </w:r>
      <w:r>
        <w:rPr>
          <w:rFonts w:eastAsia="Verdana" w:cs="Verdana" w:ascii="Verdana" w:hAnsi="Verdana"/>
          <w:color w:val="000000"/>
          <w:sz w:val="18"/>
          <w:szCs w:val="18"/>
          <w:shd w:fill="auto" w:val="clear"/>
        </w:rPr>
        <w:t>Recusar-se, sem justificativa, a assinar o contrato ou a ata de registro de preço, ou a aceitar ou retirar o instrumento equivalente no prazo estabelecido pela Administração;</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11.1.4 - </w:t>
      </w:r>
      <w:r>
        <w:rPr>
          <w:rFonts w:eastAsia="Verdana" w:cs="Verdana" w:ascii="Verdana" w:hAnsi="Verdana"/>
          <w:color w:val="000000"/>
          <w:sz w:val="18"/>
          <w:szCs w:val="18"/>
          <w:shd w:fill="auto" w:val="clear"/>
        </w:rPr>
        <w:t>Apresentar declaração ou documentação falsa exigida para o certame ou prestar declaração falsa durante a licitação;</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11.1.5 - </w:t>
      </w:r>
      <w:r>
        <w:rPr>
          <w:rFonts w:eastAsia="Verdana" w:cs="Verdana" w:ascii="Verdana" w:hAnsi="Verdana"/>
          <w:color w:val="000000"/>
          <w:sz w:val="18"/>
          <w:szCs w:val="18"/>
          <w:shd w:fill="auto" w:val="clear"/>
        </w:rPr>
        <w:t>Fraudar a licitação;</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11.1.6 - </w:t>
      </w:r>
      <w:r>
        <w:rPr>
          <w:rFonts w:eastAsia="Verdana" w:cs="Verdana" w:ascii="Verdana" w:hAnsi="Verdana"/>
          <w:color w:val="000000"/>
          <w:sz w:val="18"/>
          <w:szCs w:val="18"/>
          <w:shd w:fill="auto" w:val="clear"/>
        </w:rPr>
        <w:t>Comportar-se de modo inidôneo ou cometer fraude de qualquer natureza, em especial quando:</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Agir em conluio ou em desconformidade com a lei;</w:t>
      </w:r>
      <w:r>
        <w:rPr>
          <w:rFonts w:eastAsia="Verdana" w:cs="Verdana" w:ascii="Verdana" w:hAnsi="Verdana"/>
          <w:b/>
          <w:color w:val="000000"/>
          <w:sz w:val="18"/>
          <w:szCs w:val="18"/>
          <w:shd w:fill="auto" w:val="clear"/>
        </w:rPr>
        <w:t xml:space="preserve"> </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Induzir deliberadamente a erro no julgamento;</w:t>
      </w:r>
      <w:r>
        <w:rPr>
          <w:rFonts w:eastAsia="Verdana" w:cs="Verdana" w:ascii="Verdana" w:hAnsi="Verdana"/>
          <w:b/>
          <w:color w:val="000000"/>
          <w:sz w:val="18"/>
          <w:szCs w:val="18"/>
          <w:shd w:fill="auto" w:val="clear"/>
        </w:rPr>
        <w:t xml:space="preserve"> </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 xml:space="preserve">Apresentar amostra falsificada ou deteriorada; </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11.1.7 - </w:t>
      </w:r>
      <w:r>
        <w:rPr>
          <w:rFonts w:eastAsia="Verdana" w:cs="Verdana" w:ascii="Verdana" w:hAnsi="Verdana"/>
          <w:color w:val="000000"/>
          <w:sz w:val="18"/>
          <w:szCs w:val="18"/>
          <w:shd w:fill="auto" w:val="clear"/>
        </w:rPr>
        <w:t>Praticar atos ilícitos com vistas a frustrar os objetivos da licitação;</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11.1.8 - </w:t>
      </w:r>
      <w:r>
        <w:rPr>
          <w:rFonts w:eastAsia="Verdana" w:cs="Verdana" w:ascii="Verdana" w:hAnsi="Verdana"/>
          <w:color w:val="000000"/>
          <w:sz w:val="18"/>
          <w:szCs w:val="18"/>
          <w:shd w:fill="auto" w:val="clear"/>
        </w:rPr>
        <w:t>Praticar ato lesivo previsto no art. 5º da Lei n.º 12.846, de 2013.</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11.2 -</w:t>
        <w:tab/>
      </w:r>
      <w:r>
        <w:rPr>
          <w:rFonts w:eastAsia="Verdana" w:cs="Verdana" w:ascii="Verdana" w:hAnsi="Verdana"/>
          <w:color w:val="000000"/>
          <w:sz w:val="18"/>
          <w:szCs w:val="18"/>
          <w:shd w:fill="auto" w:val="clear"/>
        </w:rPr>
        <w:t>Com fulcro na Lei nº 14.133, de 2021, a Administração poderá, garantida a prévia defesa, aplicar aos licitantes e/ou adjudicatários as seguintes sanções, sem prejuízo das responsabilidades civil e criminal:</w:t>
      </w:r>
      <w:r>
        <w:rPr>
          <w:rFonts w:eastAsia="Verdana" w:cs="Verdana" w:ascii="Verdana" w:hAnsi="Verdana"/>
          <w:b/>
          <w:color w:val="000000"/>
          <w:sz w:val="18"/>
          <w:szCs w:val="18"/>
          <w:shd w:fill="auto" w:val="clear"/>
        </w:rPr>
        <w:t xml:space="preserve"> </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Advertência;</w:t>
      </w:r>
      <w:r>
        <w:rPr>
          <w:rFonts w:eastAsia="Verdana" w:cs="Verdana" w:ascii="Verdana" w:hAnsi="Verdana"/>
          <w:b/>
          <w:color w:val="000000"/>
          <w:sz w:val="18"/>
          <w:szCs w:val="18"/>
          <w:shd w:fill="auto" w:val="clear"/>
        </w:rPr>
        <w:t xml:space="preserve"> </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Multa (aplicada no percentual de 0,5% a 30% incidente sobre o valor da contratação);</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Impedimento de licitar e contratar; e</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d) </w:t>
      </w:r>
      <w:r>
        <w:rPr>
          <w:rFonts w:eastAsia="Verdana" w:cs="Verdana" w:ascii="Verdana" w:hAnsi="Verdana"/>
          <w:color w:val="000000"/>
          <w:sz w:val="18"/>
          <w:szCs w:val="18"/>
          <w:shd w:fill="auto" w:val="clear"/>
        </w:rPr>
        <w:t>Declaração de inidoneidade para licitar ou contratar, enquanto perdurarem os motivos determinantes da punição ou até que seja promovida sua reabilitação perante a própria autoridade que aplicou a penalidade.</w:t>
      </w:r>
    </w:p>
    <w:p>
      <w:pPr>
        <w:pStyle w:val="Normal1"/>
        <w:tabs>
          <w:tab w:val="clear" w:pos="720"/>
          <w:tab w:val="left" w:pos="709"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11.2.1 - </w:t>
      </w:r>
      <w:r>
        <w:rPr>
          <w:rFonts w:eastAsia="Verdana" w:cs="Verdana" w:ascii="Verdana" w:hAnsi="Verdana"/>
          <w:color w:val="000000"/>
          <w:sz w:val="18"/>
          <w:szCs w:val="18"/>
          <w:shd w:fill="auto" w:val="clear"/>
        </w:rPr>
        <w:t>As sanções de advertência, impedimento de licitar e contratar e declaração de inidoneidade para licitar ou contratar poderão ser aplicadas, cumulativamente ou não, à penalidade de multa.</w:t>
      </w:r>
    </w:p>
    <w:p>
      <w:pPr>
        <w:pStyle w:val="Normal1"/>
        <w:tabs>
          <w:tab w:val="clear" w:pos="720"/>
          <w:tab w:val="left" w:pos="709"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11.3 -</w:t>
        <w:tab/>
      </w:r>
      <w:r>
        <w:rPr>
          <w:rFonts w:eastAsia="Verdana" w:cs="Verdana" w:ascii="Verdana" w:hAnsi="Verdana"/>
          <w:color w:val="000000"/>
          <w:sz w:val="18"/>
          <w:szCs w:val="18"/>
          <w:shd w:fill="auto" w:val="clear"/>
        </w:rPr>
        <w:t>Na aplicação das sanções serão considerados:</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A natureza e a gravidade da infração cometida;</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As peculiaridades do caso concreto;</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As circunstâncias agravantes ou atenuantes;</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d) </w:t>
      </w:r>
      <w:r>
        <w:rPr>
          <w:rFonts w:eastAsia="Verdana" w:cs="Verdana" w:ascii="Verdana" w:hAnsi="Verdana"/>
          <w:color w:val="000000"/>
          <w:sz w:val="18"/>
          <w:szCs w:val="18"/>
          <w:shd w:fill="auto" w:val="clear"/>
        </w:rPr>
        <w:t>Os danos que dela provierem para a Administração Pública;</w:t>
      </w:r>
    </w:p>
    <w:p>
      <w:pPr>
        <w:pStyle w:val="Normal1"/>
        <w:tabs>
          <w:tab w:val="clear" w:pos="720"/>
          <w:tab w:val="left" w:pos="709" w:leader="none"/>
        </w:tabs>
        <w:ind w:left="567" w:hanging="0"/>
        <w:jc w:val="both"/>
        <w:rPr>
          <w:color w:val="auto"/>
          <w:shd w:fill="auto" w:val="clear"/>
        </w:rPr>
      </w:pPr>
      <w:r>
        <w:rPr>
          <w:rFonts w:eastAsia="Verdana" w:cs="Verdana" w:ascii="Verdana" w:hAnsi="Verdana"/>
          <w:b/>
          <w:color w:val="000000"/>
          <w:sz w:val="18"/>
          <w:szCs w:val="18"/>
          <w:shd w:fill="auto" w:val="clear"/>
        </w:rPr>
        <w:t xml:space="preserve">e) </w:t>
      </w:r>
      <w:r>
        <w:rPr>
          <w:rFonts w:eastAsia="Verdana" w:cs="Verdana" w:ascii="Verdana" w:hAnsi="Verdana"/>
          <w:color w:val="000000"/>
          <w:sz w:val="18"/>
          <w:szCs w:val="18"/>
          <w:shd w:fill="auto" w:val="clear"/>
        </w:rPr>
        <w:t>A implantação ou o aperfeiçoamento de programa de integridade, conforme normas e orientações dos órgãos de controle.</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11.4 -</w:t>
        <w:tab/>
      </w:r>
      <w:r>
        <w:rPr>
          <w:rFonts w:eastAsia="Verdana" w:cs="Verdana" w:ascii="Verdana" w:hAnsi="Verdana"/>
          <w:color w:val="000000"/>
          <w:sz w:val="18"/>
          <w:szCs w:val="18"/>
          <w:shd w:fill="auto" w:val="clear"/>
        </w:rPr>
        <w:t xml:space="preserve">A multa será recolhida em percentual de 0,5% a 30% incidente sobre o valor do contrato licitado. </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11.4.1 - </w:t>
      </w:r>
      <w:r>
        <w:rPr>
          <w:rFonts w:eastAsia="Verdana" w:cs="Verdana" w:ascii="Verdana" w:hAnsi="Verdana"/>
          <w:color w:val="000000"/>
          <w:sz w:val="18"/>
          <w:szCs w:val="18"/>
          <w:shd w:fill="auto" w:val="clear"/>
        </w:rPr>
        <w:t>Para as infrações previstas nos itens 11.1.1, 11.1.2 e 11.1.3, a multa será de 0,5% a 15% do valor do contrato licitado.</w:t>
      </w:r>
    </w:p>
    <w:p>
      <w:pPr>
        <w:pStyle w:val="Normal1"/>
        <w:tabs>
          <w:tab w:val="clear" w:pos="720"/>
          <w:tab w:val="left" w:pos="709"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ind w:left="284" w:hanging="0"/>
        <w:jc w:val="both"/>
        <w:rPr>
          <w:color w:val="auto"/>
          <w:shd w:fill="auto" w:val="clear"/>
        </w:rPr>
      </w:pPr>
      <w:r>
        <w:rPr>
          <w:rFonts w:eastAsia="Verdana" w:cs="Verdana" w:ascii="Verdana" w:hAnsi="Verdana"/>
          <w:b/>
          <w:color w:val="000000"/>
          <w:sz w:val="18"/>
          <w:szCs w:val="18"/>
          <w:shd w:fill="auto" w:val="clear"/>
        </w:rPr>
        <w:t xml:space="preserve">11.4.2 - </w:t>
      </w:r>
      <w:r>
        <w:rPr>
          <w:rFonts w:eastAsia="Verdana" w:cs="Verdana" w:ascii="Verdana" w:hAnsi="Verdana"/>
          <w:color w:val="000000"/>
          <w:sz w:val="18"/>
          <w:szCs w:val="18"/>
          <w:shd w:fill="auto" w:val="clear"/>
        </w:rPr>
        <w:t>Para as infrações previstas nos itens 11.1.4, 11.1.5, 11.1.6, 11.1.7 e 11.1.8, a multa será de 15% a 30% do valor do contrato licitado.</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11.6 </w:t>
      </w:r>
      <w:r>
        <w:rPr>
          <w:rFonts w:eastAsia="Verdana" w:cs="Verdana" w:ascii="Verdana" w:hAnsi="Verdana"/>
          <w:color w:val="000000"/>
          <w:sz w:val="18"/>
          <w:szCs w:val="18"/>
          <w:shd w:fill="auto" w:val="clear"/>
        </w:rPr>
        <w:t>-</w:t>
        <w:tab/>
        <w:t>Na aplicação da sanção de multa será facultada a defesa do interessado no prazo de 15 (quinze) dias úteis, contado da data de sua intimação.</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11.7 -</w:t>
        <w:tab/>
      </w:r>
      <w:r>
        <w:rPr>
          <w:rFonts w:eastAsia="Verdana" w:cs="Verdana" w:ascii="Verdana" w:hAnsi="Verdana"/>
          <w:color w:val="000000"/>
          <w:sz w:val="18"/>
          <w:szCs w:val="18"/>
          <w:shd w:fill="auto" w:val="clear"/>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11.8 -</w:t>
        <w:tab/>
      </w:r>
      <w:r>
        <w:rPr>
          <w:rFonts w:eastAsia="Verdana" w:cs="Verdana" w:ascii="Verdana" w:hAnsi="Verdana"/>
          <w:color w:val="000000"/>
          <w:sz w:val="18"/>
          <w:szCs w:val="18"/>
          <w:shd w:fill="auto" w:val="clear"/>
        </w:rPr>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11.9 -</w:t>
        <w:tab/>
      </w:r>
      <w:r>
        <w:rPr>
          <w:rFonts w:eastAsia="Verdana" w:cs="Verdana" w:ascii="Verdana" w:hAnsi="Verdana"/>
          <w:color w:val="000000"/>
          <w:sz w:val="18"/>
          <w:szCs w:val="18"/>
          <w:shd w:fill="auto" w:val="clear"/>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11.10 </w:t>
      </w:r>
      <w:r>
        <w:rPr>
          <w:rFonts w:eastAsia="Verdana" w:cs="Verdana" w:ascii="Verdana" w:hAnsi="Verdana"/>
          <w:color w:val="000000"/>
          <w:sz w:val="18"/>
          <w:szCs w:val="18"/>
          <w:shd w:fill="auto" w:val="clear"/>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11.11 - </w:t>
      </w:r>
      <w:r>
        <w:rPr>
          <w:rFonts w:eastAsia="Verdana" w:cs="Verdana" w:ascii="Verdana" w:hAnsi="Verdana"/>
          <w:color w:val="000000"/>
          <w:sz w:val="18"/>
          <w:szCs w:val="18"/>
          <w:shd w:fill="auto" w:val="clea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11.12 - </w:t>
      </w:r>
      <w:r>
        <w:rPr>
          <w:rFonts w:eastAsia="Verdana" w:cs="Verdana" w:ascii="Verdana" w:hAnsi="Verdana"/>
          <w:color w:val="000000"/>
          <w:sz w:val="18"/>
          <w:szCs w:val="18"/>
          <w:shd w:fill="auto" w:val="clea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11.13 -  </w:t>
      </w:r>
      <w:r>
        <w:rPr>
          <w:rFonts w:eastAsia="Verdana" w:cs="Verdana" w:ascii="Verdana" w:hAnsi="Verdana"/>
          <w:color w:val="000000"/>
          <w:sz w:val="18"/>
          <w:szCs w:val="18"/>
          <w:shd w:fill="auto" w:val="clear"/>
        </w:rPr>
        <w:t>O recurso e o pedido de reconsideração terão efeito suspensivo do ato ou da decisão recorrida até que sobrevenha decisão final da autoridade competente.</w:t>
      </w:r>
    </w:p>
    <w:p>
      <w:pPr>
        <w:pStyle w:val="Normal1"/>
        <w:tabs>
          <w:tab w:val="clear" w:pos="720"/>
          <w:tab w:val="left" w:pos="70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709" w:leader="none"/>
        </w:tabs>
        <w:jc w:val="both"/>
        <w:rPr>
          <w:color w:val="auto"/>
          <w:shd w:fill="auto" w:val="clear"/>
        </w:rPr>
      </w:pPr>
      <w:r>
        <w:rPr>
          <w:rFonts w:eastAsia="Verdana" w:cs="Verdana" w:ascii="Verdana" w:hAnsi="Verdana"/>
          <w:b/>
          <w:color w:val="000000"/>
          <w:sz w:val="18"/>
          <w:szCs w:val="18"/>
          <w:shd w:fill="auto" w:val="clear"/>
        </w:rPr>
        <w:t xml:space="preserve">11.14 - </w:t>
      </w:r>
      <w:r>
        <w:rPr>
          <w:rFonts w:eastAsia="Verdana" w:cs="Verdana" w:ascii="Verdana" w:hAnsi="Verdana"/>
          <w:color w:val="000000"/>
          <w:sz w:val="18"/>
          <w:szCs w:val="18"/>
          <w:shd w:fill="auto" w:val="clear"/>
        </w:rPr>
        <w:t>A aplicação das sanções previstas neste edital não exclui, em hipótese alguma, a obrigação de reparação integral dos danos causados.</w:t>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11.15 - </w:t>
      </w:r>
      <w:r>
        <w:rPr>
          <w:rFonts w:eastAsia="Verdana" w:cs="Verdana" w:ascii="Verdana" w:hAnsi="Verdana"/>
          <w:color w:val="000000"/>
          <w:sz w:val="18"/>
          <w:szCs w:val="18"/>
          <w:shd w:fill="auto" w:val="clear"/>
        </w:rPr>
        <w:t xml:space="preserve">Os atos administrativos de aplicação das sanções porventura aplicadas serão registrados no SICAF, bem como </w:t>
      </w:r>
      <w:r>
        <w:rPr>
          <w:rFonts w:eastAsia="Arial" w:cs="Arial" w:ascii="Arial" w:hAnsi="Arial"/>
          <w:color w:val="000000"/>
          <w:shd w:fill="auto" w:val="clear"/>
        </w:rPr>
        <w:t>no Cadastro Nacional de Empresas Inidôneas e Suspensas (Ceis) e no Cadastro Nacional de Empresas Punidas (Cnep)</w:t>
      </w:r>
      <w:r>
        <w:rPr>
          <w:rFonts w:eastAsia="Verdana" w:cs="Verdana" w:ascii="Verdana" w:hAnsi="Verdana"/>
          <w:color w:val="000000"/>
          <w:sz w:val="18"/>
          <w:szCs w:val="18"/>
          <w:shd w:fill="auto" w:val="clear"/>
        </w:rPr>
        <w:t>.</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12 - DA IMPUGNAÇÃO AO EDITAL E DO PEDIDO DE ESCLARECIMENTO</w:t>
      </w:r>
    </w:p>
    <w:p>
      <w:pPr>
        <w:pStyle w:val="Normal1"/>
        <w:jc w:val="both"/>
        <w:rPr>
          <w:rFonts w:ascii="Verdana" w:hAnsi="Verdana" w:eastAsia="Verdana" w:cs="Verdana"/>
          <w:strike/>
          <w:color w:val="auto"/>
          <w:sz w:val="18"/>
          <w:szCs w:val="18"/>
          <w:shd w:fill="auto" w:val="clear"/>
        </w:rPr>
      </w:pPr>
      <w:r>
        <w:rPr>
          <w:rFonts w:eastAsia="Verdana" w:cs="Verdana" w:ascii="Verdana" w:hAnsi="Verdana"/>
          <w:strike/>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12.1 - </w:t>
      </w:r>
      <w:r>
        <w:rPr>
          <w:rFonts w:eastAsia="Verdana" w:cs="Verdana" w:ascii="Verdana" w:hAnsi="Verdana"/>
          <w:color w:val="000000"/>
          <w:sz w:val="18"/>
          <w:szCs w:val="18"/>
          <w:shd w:fill="auto" w:val="clear"/>
        </w:rPr>
        <w:t>Qualquer pessoa é parte legítima para impugnar este Edital por irregularidade na aplicação da Lei nº 14.133, de 2021, devendo protocolar o pedido até 3 (três) dias úteis antes da data da abertura do certame.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12.2 -</w:t>
      </w:r>
      <w:r>
        <w:rPr>
          <w:rFonts w:eastAsia="Verdana" w:cs="Verdana" w:ascii="Verdana" w:hAnsi="Verdana"/>
          <w:color w:val="000000"/>
          <w:sz w:val="18"/>
          <w:szCs w:val="18"/>
          <w:shd w:fill="auto" w:val="clear"/>
        </w:rPr>
        <w:t xml:space="preserve"> A resposta à impugnação ou ao pedido de esclarecimento será divulgada em sítio eletrônico oficial no prazo de até 3 (três) dias úteis, limitado ao último dia útil anterior à data da abertura do certame.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12.3 - </w:t>
      </w:r>
      <w:r>
        <w:rPr>
          <w:rFonts w:eastAsia="Verdana" w:cs="Verdana" w:ascii="Verdana" w:hAnsi="Verdana"/>
          <w:color w:val="000000"/>
          <w:sz w:val="18"/>
          <w:szCs w:val="18"/>
          <w:shd w:fill="auto" w:val="clear"/>
        </w:rPr>
        <w:t>A impugnação e o pedido de esclarecimento serão realizados por meio do e-mail &lt;contratacao@tjes.jus.br&gt;.</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12.4 -</w:t>
      </w:r>
      <w:r>
        <w:rPr>
          <w:rFonts w:eastAsia="Verdana" w:cs="Verdana" w:ascii="Verdana" w:hAnsi="Verdana"/>
          <w:color w:val="000000"/>
          <w:sz w:val="18"/>
          <w:szCs w:val="18"/>
          <w:shd w:fill="auto" w:val="clear"/>
        </w:rPr>
        <w:t xml:space="preserve"> As impugnações e pedidos de esclarecimentos não suspendem os prazos previstos no certame.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12.4.1 -</w:t>
      </w:r>
      <w:r>
        <w:rPr>
          <w:rFonts w:eastAsia="Verdana" w:cs="Verdana" w:ascii="Verdana" w:hAnsi="Verdana"/>
          <w:color w:val="000000"/>
          <w:sz w:val="18"/>
          <w:szCs w:val="18"/>
          <w:shd w:fill="auto" w:val="clear"/>
        </w:rPr>
        <w:t xml:space="preserve"> A concessão de efeito suspensivo à impugnação é medida excepcional e deverá ser motivada pelo agente de contratação, nos autos do processo de licitação.</w:t>
      </w:r>
    </w:p>
    <w:p>
      <w:pPr>
        <w:pStyle w:val="Normal1"/>
        <w:ind w:left="284"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284" w:hanging="0"/>
        <w:jc w:val="both"/>
        <w:rPr>
          <w:color w:val="auto"/>
          <w:shd w:fill="auto" w:val="clear"/>
        </w:rPr>
      </w:pPr>
      <w:r>
        <w:rPr>
          <w:rFonts w:eastAsia="Verdana" w:cs="Verdana" w:ascii="Verdana" w:hAnsi="Verdana"/>
          <w:b/>
          <w:color w:val="000000"/>
          <w:sz w:val="18"/>
          <w:szCs w:val="18"/>
          <w:shd w:fill="auto" w:val="clear"/>
        </w:rPr>
        <w:t>12.4.2 -</w:t>
      </w:r>
      <w:r>
        <w:rPr>
          <w:rFonts w:eastAsia="Verdana" w:cs="Verdana" w:ascii="Verdana" w:hAnsi="Verdana"/>
          <w:color w:val="000000"/>
          <w:sz w:val="18"/>
          <w:szCs w:val="18"/>
          <w:shd w:fill="auto" w:val="clear"/>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12.5 -</w:t>
      </w:r>
      <w:r>
        <w:rPr>
          <w:rFonts w:eastAsia="Verdana" w:cs="Verdana" w:ascii="Verdana" w:hAnsi="Verdana"/>
          <w:color w:val="000000"/>
          <w:sz w:val="18"/>
          <w:szCs w:val="18"/>
          <w:shd w:fill="auto" w:val="clear"/>
        </w:rPr>
        <w:t xml:space="preserve"> Acolhida a impugnação, será definida e publicada nova data para a realização do certame.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13 </w:t>
      </w:r>
      <w:r>
        <w:rPr>
          <w:rFonts w:eastAsia="Verdana" w:cs="Verdana" w:ascii="Verdana" w:hAnsi="Verdana"/>
          <w:b/>
          <w:color w:val="000000"/>
          <w:sz w:val="18"/>
          <w:szCs w:val="18"/>
          <w:shd w:fill="auto" w:val="clear"/>
        </w:rPr>
        <w:t>- DA ADJUDICAÇÃO E HOMOLOGAÇÃO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13.1 </w:t>
      </w:r>
      <w:r>
        <w:rPr>
          <w:rFonts w:eastAsia="Verdana" w:cs="Verdana" w:ascii="Verdana" w:hAnsi="Verdana"/>
          <w:color w:val="000000"/>
          <w:sz w:val="18"/>
          <w:szCs w:val="18"/>
          <w:shd w:fill="auto" w:val="clear"/>
        </w:rPr>
        <w:t>- Após a declaração do vencedor da licitação, não havendo manifestação dos licitantes quanto à interposição de recurso, o pregoeiro encaminhará o processo licitatório à Autoridade Superior, que poderá adjudicar o objeto e homologar a licitação.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13.2 - </w:t>
      </w:r>
      <w:r>
        <w:rPr>
          <w:rFonts w:eastAsia="Verdana" w:cs="Verdana" w:ascii="Verdana" w:hAnsi="Verdana"/>
          <w:color w:val="000000"/>
          <w:sz w:val="18"/>
          <w:szCs w:val="18"/>
          <w:shd w:fill="auto" w:val="clear"/>
        </w:rPr>
        <w:t xml:space="preserve">Em sendo adjudicado o objeto e homologada a licitação, a Administração convocará o adjudicatário para </w:t>
      </w:r>
      <w:r>
        <w:rPr>
          <w:rFonts w:eastAsia="Verdana" w:cs="Verdana" w:ascii="Verdana" w:hAnsi="Verdana"/>
          <w:b/>
          <w:color w:val="000000"/>
          <w:sz w:val="18"/>
          <w:szCs w:val="18"/>
          <w:shd w:fill="auto" w:val="clear"/>
        </w:rPr>
        <w:t>assinar a ATA</w:t>
      </w:r>
      <w:r>
        <w:rPr>
          <w:rFonts w:eastAsia="Verdana" w:cs="Verdana" w:ascii="Verdana" w:hAnsi="Verdana"/>
          <w:color w:val="000000"/>
          <w:sz w:val="18"/>
          <w:szCs w:val="18"/>
          <w:shd w:fill="auto" w:val="clear"/>
        </w:rPr>
        <w:t>.</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 xml:space="preserve">14 </w:t>
      </w:r>
      <w:r>
        <w:rPr>
          <w:rFonts w:eastAsia="Verdana" w:cs="Verdana" w:ascii="Verdana" w:hAnsi="Verdana"/>
          <w:b/>
          <w:color w:val="000000"/>
          <w:sz w:val="18"/>
          <w:szCs w:val="18"/>
          <w:shd w:fill="auto" w:val="clear"/>
        </w:rPr>
        <w:t>- DA FORMALIZAÇÃO DA ATA DE REGISTRO DE PREÇOS</w:t>
      </w:r>
    </w:p>
    <w:p>
      <w:pPr>
        <w:pStyle w:val="Normal1"/>
        <w:tabs>
          <w:tab w:val="clear" w:pos="720"/>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14.1 -</w:t>
      </w:r>
      <w:r>
        <w:rPr>
          <w:rFonts w:eastAsia="Verdana" w:cs="Verdana" w:ascii="Verdana" w:hAnsi="Verdana"/>
          <w:color w:val="000000"/>
          <w:sz w:val="18"/>
          <w:szCs w:val="18"/>
          <w:shd w:fill="auto" w:val="clear"/>
        </w:rPr>
        <w:t xml:space="preserve"> Homologada a licitação, será formalizada a Ata de Registro de Preços.</w:t>
      </w:r>
    </w:p>
    <w:p>
      <w:pPr>
        <w:pStyle w:val="Normal1"/>
        <w:tabs>
          <w:tab w:val="clear" w:pos="720"/>
          <w:tab w:val="left" w:pos="1134" w:leader="none"/>
          <w:tab w:val="left" w:pos="1287" w:leader="none"/>
          <w:tab w:val="left" w:pos="8647"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 w:val="left" w:pos="1287" w:leader="none"/>
          <w:tab w:val="left" w:pos="8647" w:leader="none"/>
        </w:tabs>
        <w:jc w:val="both"/>
        <w:rPr>
          <w:color w:val="auto"/>
          <w:shd w:fill="auto" w:val="clear"/>
        </w:rPr>
      </w:pPr>
      <w:r>
        <w:rPr>
          <w:rFonts w:eastAsia="Verdana" w:cs="Verdana" w:ascii="Verdana" w:hAnsi="Verdana"/>
          <w:b/>
          <w:color w:val="000000"/>
          <w:sz w:val="18"/>
          <w:szCs w:val="18"/>
          <w:shd w:fill="auto" w:val="clear"/>
        </w:rPr>
        <w:t>14.2</w:t>
      </w:r>
      <w:r>
        <w:rPr>
          <w:rFonts w:eastAsia="Verdana" w:cs="Verdana" w:ascii="Verdana" w:hAnsi="Verdana"/>
          <w:color w:val="000000"/>
          <w:sz w:val="18"/>
          <w:szCs w:val="18"/>
          <w:shd w:fill="auto" w:val="clear"/>
        </w:rPr>
        <w:t xml:space="preserve"> - O PJ/ES convocará formalmente a(s) vencedora(s) para, no prazo de 05 (cinco) dias úteis, proceder à assinatura da Ata de Registro de Preços.</w:t>
      </w:r>
    </w:p>
    <w:p>
      <w:pPr>
        <w:pStyle w:val="Normal1"/>
        <w:tabs>
          <w:tab w:val="clear" w:pos="720"/>
          <w:tab w:val="left" w:pos="16866" w:leader="none"/>
          <w:tab w:val="left" w:pos="17019" w:leader="none"/>
          <w:tab w:val="left" w:pos="24379"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6866" w:leader="none"/>
          <w:tab w:val="left" w:pos="17019" w:leader="none"/>
          <w:tab w:val="left" w:pos="24379" w:leader="none"/>
        </w:tabs>
        <w:jc w:val="both"/>
        <w:rPr>
          <w:color w:val="auto"/>
          <w:shd w:fill="auto" w:val="clear"/>
        </w:rPr>
      </w:pPr>
      <w:r>
        <w:rPr>
          <w:rFonts w:eastAsia="Verdana" w:cs="Verdana" w:ascii="Verdana" w:hAnsi="Verdana"/>
          <w:b/>
          <w:color w:val="000000"/>
          <w:sz w:val="18"/>
          <w:szCs w:val="18"/>
          <w:shd w:fill="auto" w:val="clear"/>
        </w:rPr>
        <w:t>14.2.1</w:t>
      </w:r>
      <w:r>
        <w:rPr>
          <w:rFonts w:eastAsia="Verdana" w:cs="Verdana" w:ascii="Verdana" w:hAnsi="Verdana"/>
          <w:color w:val="000000"/>
          <w:sz w:val="18"/>
          <w:szCs w:val="18"/>
          <w:shd w:fill="auto" w:val="clear"/>
        </w:rPr>
        <w:t xml:space="preserve"> - Esse prazo poderá ser prorrogado por igual período se, durante o seu transcurso, for solicitado pela licitante convocada, desde que ocorra motivo justificado e aceito pelo PJES.</w:t>
      </w:r>
    </w:p>
    <w:p>
      <w:pPr>
        <w:pStyle w:val="Normal1"/>
        <w:tabs>
          <w:tab w:val="clear" w:pos="720"/>
          <w:tab w:val="left" w:pos="16866" w:leader="none"/>
          <w:tab w:val="left" w:pos="17019" w:leader="none"/>
          <w:tab w:val="left" w:pos="24379" w:leader="none"/>
        </w:tabs>
        <w:ind w:left="828"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 w:val="left" w:pos="1287" w:leader="none"/>
          <w:tab w:val="left" w:pos="8647" w:leader="none"/>
        </w:tabs>
        <w:jc w:val="both"/>
        <w:rPr>
          <w:color w:val="auto"/>
          <w:shd w:fill="auto" w:val="clear"/>
        </w:rPr>
      </w:pPr>
      <w:r>
        <w:rPr>
          <w:rFonts w:eastAsia="Verdana" w:cs="Verdana" w:ascii="Verdana" w:hAnsi="Verdana"/>
          <w:b/>
          <w:color w:val="000000"/>
          <w:sz w:val="18"/>
          <w:szCs w:val="18"/>
          <w:shd w:fill="auto" w:val="clear"/>
        </w:rPr>
        <w:t>14.3</w:t>
      </w:r>
      <w:r>
        <w:rPr>
          <w:rFonts w:eastAsia="Verdana" w:cs="Verdana" w:ascii="Verdana" w:hAnsi="Verdana"/>
          <w:color w:val="000000"/>
          <w:sz w:val="18"/>
          <w:szCs w:val="18"/>
          <w:shd w:fill="auto" w:val="clear"/>
        </w:rPr>
        <w:t xml:space="preserve"> - Na assinatura da Ata de Registro de Preços, será exigida a comprovação das condições de habilitação consignadas no Edital, as quais deverão ser mantidas pela(s) licitante(s) durante a vigência da Ata.</w:t>
      </w:r>
    </w:p>
    <w:p>
      <w:pPr>
        <w:pStyle w:val="Normal1"/>
        <w:tabs>
          <w:tab w:val="clear" w:pos="720"/>
          <w:tab w:val="left" w:pos="17717"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7717" w:leader="none"/>
        </w:tabs>
        <w:ind w:left="284" w:hanging="0"/>
        <w:jc w:val="both"/>
        <w:rPr>
          <w:color w:val="auto"/>
          <w:shd w:fill="auto" w:val="clear"/>
        </w:rPr>
      </w:pPr>
      <w:r>
        <w:rPr>
          <w:rFonts w:eastAsia="Verdana" w:cs="Verdana" w:ascii="Verdana" w:hAnsi="Verdana"/>
          <w:b/>
          <w:color w:val="000000"/>
          <w:sz w:val="18"/>
          <w:szCs w:val="18"/>
          <w:shd w:fill="auto" w:val="clear"/>
        </w:rPr>
        <w:t>14.3.1</w:t>
      </w:r>
      <w:r>
        <w:rPr>
          <w:rFonts w:eastAsia="Verdana" w:cs="Verdana" w:ascii="Verdana" w:hAnsi="Verdana"/>
          <w:color w:val="000000"/>
          <w:sz w:val="18"/>
          <w:szCs w:val="18"/>
          <w:shd w:fill="auto" w:val="clear"/>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pPr>
        <w:pStyle w:val="Normal1"/>
        <w:pBdr/>
        <w:tabs>
          <w:tab w:val="clear" w:pos="720"/>
          <w:tab w:val="left" w:pos="704" w:leader="none"/>
          <w:tab w:val="left" w:pos="1134"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704" w:leader="none"/>
          <w:tab w:val="left" w:pos="1134" w:leader="none"/>
        </w:tabs>
        <w:ind w:left="284" w:hanging="0"/>
        <w:jc w:val="both"/>
        <w:rPr>
          <w:color w:val="auto"/>
          <w:shd w:fill="auto" w:val="clear"/>
        </w:rPr>
      </w:pPr>
      <w:r>
        <w:rPr>
          <w:rFonts w:eastAsia="Verdana" w:cs="Verdana" w:ascii="Verdana" w:hAnsi="Verdana"/>
          <w:b/>
          <w:color w:val="000000"/>
          <w:sz w:val="18"/>
          <w:szCs w:val="18"/>
          <w:shd w:fill="auto" w:val="clear"/>
        </w:rPr>
        <w:t>14.3.1.1 -</w:t>
      </w:r>
      <w:r>
        <w:rPr>
          <w:rFonts w:eastAsia="Verdana" w:cs="Verdana" w:ascii="Verdana" w:hAnsi="Verdana"/>
          <w:color w:val="000000"/>
          <w:sz w:val="18"/>
          <w:szCs w:val="18"/>
          <w:shd w:fill="auto" w:val="clear"/>
        </w:rPr>
        <w:t xml:space="preserve"> Na hipótese de nenhum dos licitantes aceitar a contratação nos termos do disposto no item 14.3.1, a Administração, observados o valor estimado e a sua eventual atualização na forma prevista no edital, poderá:</w:t>
      </w:r>
    </w:p>
    <w:p>
      <w:pPr>
        <w:pStyle w:val="Normal1"/>
        <w:pBdr/>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convocar os licitantes de que trata a alínea “b” do inciso II do caput do art. 18 do Decreto Federal 11.462/2023, para negociação, na ordem de classificação, com vistas à obtenção de preço melhor, mesmo que acima do preço do adjudicatário; ou</w:t>
      </w:r>
    </w:p>
    <w:p>
      <w:pPr>
        <w:pStyle w:val="Normal1"/>
        <w:pBdr/>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adjudicar e firmar o contrato nas condições ofertadas pelos licitantes remanescentes, observada a ordem de classificação, quando frustrada a negociação de melhor condição.</w:t>
      </w:r>
    </w:p>
    <w:p>
      <w:pPr>
        <w:pStyle w:val="Normal1"/>
        <w:tabs>
          <w:tab w:val="clear" w:pos="720"/>
          <w:tab w:val="left" w:pos="17717"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7717" w:leader="none"/>
        </w:tabs>
        <w:ind w:left="284" w:hanging="0"/>
        <w:jc w:val="both"/>
        <w:rPr>
          <w:color w:val="auto"/>
          <w:shd w:fill="auto" w:val="clear"/>
        </w:rPr>
      </w:pPr>
      <w:r>
        <w:rPr>
          <w:rFonts w:eastAsia="Verdana" w:cs="Verdana" w:ascii="Verdana" w:hAnsi="Verdana"/>
          <w:b/>
          <w:color w:val="000000"/>
          <w:sz w:val="18"/>
          <w:szCs w:val="18"/>
          <w:shd w:fill="auto" w:val="clear"/>
        </w:rPr>
        <w:t>14.3.2 -</w:t>
      </w:r>
      <w:r>
        <w:rPr>
          <w:rFonts w:eastAsia="Verdana" w:cs="Verdana" w:ascii="Verdana" w:hAnsi="Verdana"/>
          <w:color w:val="000000"/>
          <w:sz w:val="18"/>
          <w:szCs w:val="18"/>
          <w:shd w:fill="auto" w:val="clear"/>
        </w:rPr>
        <w:t xml:space="preserve"> A previsão do subitem acima não exclui a necessidade de negociação com o licitante convocado visando uma eventual redução do preço ofertado.</w:t>
      </w:r>
    </w:p>
    <w:p>
      <w:pPr>
        <w:pStyle w:val="Normal1"/>
        <w:tabs>
          <w:tab w:val="clear" w:pos="720"/>
          <w:tab w:val="left" w:pos="0" w:leader="none"/>
          <w:tab w:val="left" w:pos="704" w:leader="none"/>
          <w:tab w:val="left" w:pos="1134" w:leader="none"/>
        </w:tabs>
        <w:ind w:left="284"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14.4 - </w:t>
      </w:r>
      <w:r>
        <w:rPr>
          <w:rFonts w:eastAsia="Verdana" w:cs="Verdana" w:ascii="Verdana" w:hAnsi="Verdana"/>
          <w:color w:val="000000"/>
          <w:sz w:val="18"/>
          <w:szCs w:val="18"/>
          <w:shd w:fill="auto" w:val="clear"/>
        </w:rPr>
        <w:t>Para fins do disposto no Art. 82, inciso IV, da Lei 14.133/2021, não será possível aos licitantes oferecerem proposta em quantitativo inferior ao máximo previsto no edital.</w:t>
      </w:r>
    </w:p>
    <w:p>
      <w:pPr>
        <w:pStyle w:val="Normal1"/>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14.5 </w:t>
      </w:r>
      <w:r>
        <w:rPr>
          <w:rFonts w:eastAsia="Verdana" w:cs="Verdana" w:ascii="Verdana" w:hAnsi="Verdana"/>
          <w:color w:val="000000"/>
          <w:sz w:val="18"/>
          <w:szCs w:val="18"/>
          <w:shd w:fill="auto" w:val="clear"/>
        </w:rPr>
        <w:t>-</w:t>
        <w:tab/>
        <w:t>O prazo de vigência da Ata de Registro de Preços será de 1 (um) ano, a contar da data de sua assinatura, e poderá ser prorrogado, por igual período, desde que comprovado o preço vantajoso.</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 xml:space="preserve">15 </w:t>
      </w:r>
      <w:r>
        <w:rPr>
          <w:rFonts w:eastAsia="Verdana" w:cs="Verdana" w:ascii="Verdana" w:hAnsi="Verdana"/>
          <w:b/>
          <w:color w:val="000000"/>
          <w:sz w:val="18"/>
          <w:szCs w:val="18"/>
          <w:shd w:fill="auto" w:val="clear"/>
        </w:rPr>
        <w:t>- DO CADASTRO DE RESERVA</w:t>
      </w:r>
    </w:p>
    <w:p>
      <w:pPr>
        <w:pStyle w:val="Normal1"/>
        <w:tabs>
          <w:tab w:val="clear" w:pos="720"/>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15.1 -</w:t>
      </w:r>
      <w:r>
        <w:rPr>
          <w:rFonts w:eastAsia="Verdana" w:cs="Verdana" w:ascii="Verdana" w:hAnsi="Verdana"/>
          <w:color w:val="000000"/>
          <w:sz w:val="18"/>
          <w:szCs w:val="18"/>
          <w:shd w:fill="auto" w:val="clear"/>
        </w:rPr>
        <w:t xml:space="preserve">  No momento da homologação, a autoridade competente disporá da ferramenta de formação de Cadastro Reserva (SRP), no Portal de Compras Governamentais (https://www.gov.br/compras).</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15.1.1 -</w:t>
      </w:r>
      <w:r>
        <w:rPr>
          <w:rFonts w:eastAsia="Verdana" w:cs="Verdana" w:ascii="Verdana" w:hAnsi="Verdana"/>
          <w:color w:val="000000"/>
          <w:sz w:val="18"/>
          <w:szCs w:val="18"/>
          <w:shd w:fill="auto" w:val="clear"/>
        </w:rPr>
        <w:t xml:space="preserve"> A Autoridade competente deverá informar, no sistema, uma data/hora fim para o cadastro de reserva (mínimo de 24 h), convocando o(s) fornecedor(es) apto(s) para esse procedimento.</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15.2 -</w:t>
      </w:r>
      <w:r>
        <w:rPr>
          <w:rFonts w:eastAsia="Verdana" w:cs="Verdana" w:ascii="Verdana" w:hAnsi="Verdana"/>
          <w:color w:val="000000"/>
          <w:sz w:val="18"/>
          <w:szCs w:val="18"/>
          <w:shd w:fill="auto" w:val="clear"/>
        </w:rPr>
        <w:t xml:space="preserve"> O Cadastro de Reserva envolverá somente itens com Propostas adjudicadas.</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15.3 -</w:t>
      </w:r>
      <w:r>
        <w:rPr>
          <w:rFonts w:eastAsia="Verdana" w:cs="Verdana" w:ascii="Verdana" w:hAnsi="Verdana"/>
          <w:color w:val="000000"/>
          <w:sz w:val="18"/>
          <w:szCs w:val="18"/>
          <w:shd w:fill="auto" w:val="clear"/>
        </w:rPr>
        <w:t xml:space="preserve"> O sistema deverá enviar um e-mail a todos os fornecedores com propostas NÃO RECUSADAS para que eles possam aderir ao Cadastro de Reserva </w:t>
      </w:r>
      <w:r>
        <w:rPr>
          <w:rFonts w:eastAsia="Verdana" w:cs="Verdana" w:ascii="Verdana" w:hAnsi="Verdana"/>
          <w:b/>
          <w:color w:val="000000"/>
          <w:sz w:val="18"/>
          <w:szCs w:val="18"/>
          <w:shd w:fill="auto" w:val="clear"/>
        </w:rPr>
        <w:t>pelo preço do primeiro colocado</w:t>
      </w:r>
      <w:r>
        <w:rPr>
          <w:rFonts w:eastAsia="Verdana" w:cs="Verdana" w:ascii="Verdana" w:hAnsi="Verdana"/>
          <w:color w:val="000000"/>
          <w:sz w:val="18"/>
          <w:szCs w:val="18"/>
          <w:shd w:fill="auto" w:val="clear"/>
        </w:rPr>
        <w:t>, desconsiderando margem de preferência (exceto para o fornecedor vencedor do item).</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704" w:leader="none"/>
          <w:tab w:val="left" w:pos="1134" w:leader="none"/>
        </w:tabs>
        <w:ind w:left="284" w:hanging="0"/>
        <w:jc w:val="both"/>
        <w:rPr>
          <w:color w:val="auto"/>
          <w:shd w:fill="auto" w:val="clear"/>
        </w:rPr>
      </w:pPr>
      <w:r>
        <w:rPr>
          <w:rFonts w:eastAsia="Verdana" w:cs="Verdana" w:ascii="Verdana" w:hAnsi="Verdana"/>
          <w:b/>
          <w:color w:val="000000"/>
          <w:sz w:val="18"/>
          <w:szCs w:val="18"/>
          <w:shd w:fill="auto" w:val="clear"/>
        </w:rPr>
        <w:t>15.3.1</w:t>
      </w:r>
      <w:r>
        <w:rPr>
          <w:rFonts w:eastAsia="Verdana" w:cs="Verdana" w:ascii="Verdana" w:hAnsi="Verdana"/>
          <w:color w:val="000000"/>
          <w:sz w:val="18"/>
          <w:szCs w:val="18"/>
          <w:shd w:fill="auto" w:val="clear"/>
        </w:rPr>
        <w:t xml:space="preserve"> O(s) fornecedor(es) que tiver(em) o interesse em aderir ao Cadastro reserva, observará(ão), no sistema, os seguintes passos:</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a)</w:t>
      </w:r>
      <w:r>
        <w:rPr>
          <w:rFonts w:eastAsia="Verdana" w:cs="Verdana" w:ascii="Verdana" w:hAnsi="Verdana"/>
          <w:color w:val="000000"/>
          <w:sz w:val="18"/>
          <w:szCs w:val="18"/>
          <w:shd w:fill="auto" w:val="clear"/>
        </w:rPr>
        <w:t xml:space="preserve"> o sistema apresentará a licitação apta ao Cadastro de Reserva do fornecedor;</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b)</w:t>
      </w:r>
      <w:r>
        <w:rPr>
          <w:rFonts w:eastAsia="Verdana" w:cs="Verdana" w:ascii="Verdana" w:hAnsi="Verdana"/>
          <w:color w:val="000000"/>
          <w:sz w:val="18"/>
          <w:szCs w:val="18"/>
          <w:shd w:fill="auto" w:val="clear"/>
        </w:rPr>
        <w:t xml:space="preserve"> o fornecedor deverá selecionar a licitação e registrar intenção de participar do Cadastro de Reserva;</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c)</w:t>
      </w:r>
      <w:r>
        <w:rPr>
          <w:rFonts w:eastAsia="Verdana" w:cs="Verdana" w:ascii="Verdana" w:hAnsi="Verdana"/>
          <w:color w:val="000000"/>
          <w:sz w:val="18"/>
          <w:szCs w:val="18"/>
          <w:shd w:fill="auto" w:val="clear"/>
        </w:rPr>
        <w:t xml:space="preserve"> o sistema apresentará uma lista com os itens aptos ao Cadastro de Reserva pelo fornecedor;</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d)</w:t>
      </w:r>
      <w:r>
        <w:rPr>
          <w:rFonts w:eastAsia="Verdana" w:cs="Verdana" w:ascii="Verdana" w:hAnsi="Verdana"/>
          <w:color w:val="000000"/>
          <w:sz w:val="18"/>
          <w:szCs w:val="18"/>
          <w:shd w:fill="auto" w:val="clear"/>
        </w:rPr>
        <w:t xml:space="preserve"> após a seleção e confirmação pelo fornecedor, o sistema apresentará uma mensagem de confirmação indicando que o fornecedor aceita executar os serviços na quantidade ofertada por ele aos preços do Cadastro de Reserva;</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e)</w:t>
      </w:r>
      <w:r>
        <w:rPr>
          <w:rFonts w:eastAsia="Verdana" w:cs="Verdana" w:ascii="Verdana" w:hAnsi="Verdana"/>
          <w:color w:val="000000"/>
          <w:sz w:val="18"/>
          <w:szCs w:val="18"/>
          <w:shd w:fill="auto" w:val="clear"/>
        </w:rPr>
        <w:t xml:space="preserve"> o fornecedor confirmará e passará a fazer parte do Cadastro de Reserva do item selecionado;</w:t>
      </w:r>
    </w:p>
    <w:p>
      <w:pPr>
        <w:pStyle w:val="Normal1"/>
        <w:tabs>
          <w:tab w:val="clear" w:pos="720"/>
          <w:tab w:val="left" w:pos="704" w:leader="none"/>
          <w:tab w:val="left" w:pos="1134" w:leader="none"/>
        </w:tabs>
        <w:ind w:left="567" w:hanging="0"/>
        <w:jc w:val="both"/>
        <w:rPr>
          <w:color w:val="auto"/>
          <w:shd w:fill="auto" w:val="clear"/>
        </w:rPr>
      </w:pPr>
      <w:r>
        <w:rPr>
          <w:rFonts w:eastAsia="Verdana" w:cs="Verdana" w:ascii="Verdana" w:hAnsi="Verdana"/>
          <w:b/>
          <w:color w:val="000000"/>
          <w:sz w:val="18"/>
          <w:szCs w:val="18"/>
          <w:shd w:fill="auto" w:val="clear"/>
        </w:rPr>
        <w:t>f)</w:t>
      </w:r>
      <w:r>
        <w:rPr>
          <w:rFonts w:eastAsia="Verdana" w:cs="Verdana" w:ascii="Verdana" w:hAnsi="Verdana"/>
          <w:color w:val="000000"/>
          <w:sz w:val="18"/>
          <w:szCs w:val="18"/>
          <w:shd w:fill="auto" w:val="clear"/>
        </w:rPr>
        <w:t xml:space="preserve"> o registro da operação será gravado no sistema.</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15.4 -</w:t>
      </w:r>
      <w:r>
        <w:rPr>
          <w:rFonts w:eastAsia="Verdana" w:cs="Verdana" w:ascii="Verdana" w:hAnsi="Verdana"/>
          <w:color w:val="000000"/>
          <w:sz w:val="18"/>
          <w:szCs w:val="18"/>
          <w:shd w:fill="auto" w:val="clear"/>
        </w:rPr>
        <w:t xml:space="preserve"> Na homologação, antes de solicitar a Data/Hora do Cadastro de Reserva, o sistema verificará se há ou não fornecedores aptos ao Cadastro de Reserva.</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15.5 -</w:t>
      </w:r>
      <w:r>
        <w:rPr>
          <w:rFonts w:eastAsia="Verdana" w:cs="Verdana" w:ascii="Verdana" w:hAnsi="Verdana"/>
          <w:color w:val="000000"/>
          <w:sz w:val="18"/>
          <w:szCs w:val="18"/>
          <w:shd w:fill="auto" w:val="clear"/>
        </w:rPr>
        <w:t xml:space="preserve"> Se não houver nenhum fornecedor apto, o sistema apresentará uma mensagem de alerta para a autoridade competente, informando que não houve a formação de Cadastro de Reserva.</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15.6 -</w:t>
      </w:r>
      <w:r>
        <w:rPr>
          <w:rFonts w:eastAsia="Verdana" w:cs="Verdana" w:ascii="Verdana" w:hAnsi="Verdana"/>
          <w:color w:val="000000"/>
          <w:sz w:val="18"/>
          <w:szCs w:val="18"/>
          <w:shd w:fill="auto" w:val="clear"/>
        </w:rPr>
        <w:t xml:space="preserve"> A autoridade competente deverá realizar a gestão do Cadastro de Reserva, enviando ao SIASG informações referente ao detalhamento desse procedimento.</w:t>
      </w:r>
    </w:p>
    <w:p>
      <w:pPr>
        <w:pStyle w:val="Normal1"/>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15.7 -</w:t>
      </w:r>
      <w:r>
        <w:rPr>
          <w:rFonts w:eastAsia="Verdana" w:cs="Verdana" w:ascii="Verdana" w:hAnsi="Verdana"/>
          <w:color w:val="000000"/>
          <w:sz w:val="18"/>
          <w:szCs w:val="18"/>
          <w:shd w:fill="auto" w:val="clear"/>
        </w:rPr>
        <w:t xml:space="preserve"> O Cadastro de Reserva poderá ser visualizado por qualquer cidadão na consulta pública de visualização de ata no Portal de Compras do Governo Federal (https://www.gov.br/compras).</w:t>
      </w:r>
    </w:p>
    <w:p>
      <w:pPr>
        <w:pStyle w:val="Normal1"/>
        <w:shd w:val="clear" w:fill="FFFFFF"/>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shd w:val="clear" w:fill="C0C0C0"/>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 xml:space="preserve">16 </w:t>
      </w:r>
      <w:r>
        <w:rPr>
          <w:rFonts w:eastAsia="Verdana" w:cs="Verdana" w:ascii="Verdana" w:hAnsi="Verdana"/>
          <w:b/>
          <w:color w:val="000000"/>
          <w:sz w:val="18"/>
          <w:szCs w:val="18"/>
          <w:shd w:fill="auto" w:val="clear"/>
        </w:rPr>
        <w:t>- DA DOTAÇÃO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color w:val="auto"/>
          <w:shd w:fill="auto" w:val="clear"/>
        </w:rPr>
      </w:pPr>
      <w:r>
        <w:rPr>
          <w:rFonts w:eastAsia="Verdana" w:cs="Verdana" w:ascii="Verdana" w:hAnsi="Verdana"/>
          <w:b/>
          <w:color w:val="000000"/>
          <w:sz w:val="18"/>
          <w:szCs w:val="18"/>
          <w:shd w:fill="auto" w:val="clear"/>
        </w:rPr>
        <w:t>16</w:t>
      </w:r>
      <w:r>
        <w:rPr>
          <w:rFonts w:eastAsia="Verdana" w:cs="Verdana" w:ascii="Verdana" w:hAnsi="Verdana"/>
          <w:b/>
          <w:color w:val="000000"/>
          <w:sz w:val="18"/>
          <w:szCs w:val="18"/>
          <w:shd w:fill="auto" w:val="clear"/>
        </w:rPr>
        <w:t>.1</w:t>
      </w:r>
      <w:r>
        <w:rPr>
          <w:rFonts w:eastAsia="Verdana" w:cs="Verdana" w:ascii="Verdana" w:hAnsi="Verdana"/>
          <w:color w:val="000000"/>
          <w:sz w:val="18"/>
          <w:szCs w:val="18"/>
          <w:shd w:fill="auto" w:val="clear"/>
        </w:rPr>
        <w:t xml:space="preserve"> - As despesas decorrentes do objeto desta licitação correrão por conta de recursos próprios do PJ/ES alocados na Atividade: </w:t>
      </w:r>
      <w:r>
        <w:rPr>
          <w:rFonts w:eastAsia="Verdana" w:cs="Verdana" w:ascii="Verdana" w:hAnsi="Verdana"/>
          <w:b/>
          <w:color w:val="000000"/>
          <w:sz w:val="18"/>
          <w:szCs w:val="18"/>
          <w:shd w:fill="auto" w:val="clear"/>
        </w:rPr>
        <w:t>10.03.901.02.061.0023.2078</w:t>
      </w:r>
      <w:r>
        <w:rPr>
          <w:rFonts w:eastAsia="Verdana" w:cs="Verdana" w:ascii="Verdana" w:hAnsi="Verdana"/>
          <w:color w:val="000000"/>
          <w:sz w:val="18"/>
          <w:szCs w:val="18"/>
          <w:shd w:fill="auto" w:val="clear"/>
        </w:rPr>
        <w:t xml:space="preserve">, Elemento de Despesa: </w:t>
      </w:r>
      <w:r>
        <w:rPr>
          <w:rFonts w:eastAsia="Verdana" w:cs="Verdana" w:ascii="Verdana" w:hAnsi="Verdana"/>
          <w:b/>
          <w:color w:val="000000"/>
          <w:sz w:val="18"/>
          <w:szCs w:val="18"/>
          <w:shd w:fill="auto" w:val="clear"/>
        </w:rPr>
        <w:t>4.4.90.52.42</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 xml:space="preserve">consignados no </w:t>
      </w:r>
      <w:r>
        <w:rPr>
          <w:rFonts w:eastAsia="Verdana" w:cs="Verdana" w:ascii="Verdana" w:hAnsi="Verdana"/>
          <w:b/>
          <w:color w:val="000000"/>
          <w:sz w:val="18"/>
          <w:szCs w:val="18"/>
          <w:shd w:fill="auto" w:val="clear"/>
        </w:rPr>
        <w:t>Fundo Especial do Poder Judiciário - FUNEPJ.</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shd w:val="clear" w:fill="C0C0C0"/>
        <w:tabs>
          <w:tab w:val="clear" w:pos="720"/>
          <w:tab w:val="left" w:pos="0" w:leader="none"/>
        </w:tabs>
        <w:jc w:val="both"/>
        <w:rPr>
          <w:color w:val="auto"/>
          <w:shd w:fill="auto" w:val="clear"/>
        </w:rPr>
      </w:pPr>
      <w:r>
        <w:rPr>
          <w:rFonts w:eastAsia="Verdana" w:cs="Verdana" w:ascii="Verdana" w:hAnsi="Verdana"/>
          <w:b/>
          <w:color w:val="000000"/>
          <w:sz w:val="18"/>
          <w:szCs w:val="18"/>
          <w:shd w:fill="auto" w:val="clear"/>
        </w:rPr>
        <w:t>17</w:t>
      </w:r>
      <w:r>
        <w:rPr>
          <w:rFonts w:eastAsia="Verdana" w:cs="Verdana" w:ascii="Verdana" w:hAnsi="Verdana"/>
          <w:b/>
          <w:color w:val="000000"/>
          <w:sz w:val="18"/>
          <w:szCs w:val="18"/>
          <w:shd w:fill="auto" w:val="clear"/>
        </w:rPr>
        <w:t xml:space="preserve"> - DAS DISPOSIÇÕES FINAIS</w:t>
      </w:r>
    </w:p>
    <w:p>
      <w:pPr>
        <w:pStyle w:val="Normal1"/>
        <w:pBdr/>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17.1 - </w:t>
      </w:r>
      <w:r>
        <w:rPr>
          <w:rFonts w:eastAsia="Verdana" w:cs="Verdana" w:ascii="Verdana" w:hAnsi="Verdana"/>
          <w:color w:val="000000"/>
          <w:sz w:val="18"/>
          <w:szCs w:val="18"/>
          <w:shd w:fill="auto" w:val="clear"/>
        </w:rPr>
        <w:t>Será divulgada ata da sessão pública no sistema eletrônico.</w:t>
      </w:r>
    </w:p>
    <w:p>
      <w:pPr>
        <w:pStyle w:val="Normal1"/>
        <w:pBdr/>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17.2 - </w:t>
      </w:r>
      <w:r>
        <w:rPr>
          <w:rFonts w:eastAsia="Verdana" w:cs="Verdana" w:ascii="Verdana" w:hAnsi="Verdana"/>
          <w:color w:val="000000"/>
          <w:sz w:val="18"/>
          <w:szCs w:val="18"/>
          <w:shd w:fill="auto" w:val="clea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17.3 - </w:t>
      </w:r>
      <w:r>
        <w:rPr>
          <w:rFonts w:eastAsia="Verdana" w:cs="Verdana" w:ascii="Verdana" w:hAnsi="Verdana"/>
          <w:color w:val="000000"/>
          <w:sz w:val="18"/>
          <w:szCs w:val="18"/>
          <w:shd w:fill="auto" w:val="clear"/>
        </w:rPr>
        <w:t>Todas as referências de tempo no Edital, no aviso e durante a sessão pública observarão o horário de Brasília - DF.</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17.4 -  </w:t>
      </w:r>
      <w:r>
        <w:rPr>
          <w:rFonts w:eastAsia="Verdana" w:cs="Verdana" w:ascii="Verdana" w:hAnsi="Verdana"/>
          <w:color w:val="000000"/>
          <w:sz w:val="18"/>
          <w:szCs w:val="18"/>
          <w:shd w:fill="auto" w:val="clear"/>
        </w:rPr>
        <w:t>A homologação do resultado desta licitação não implicará direito à contratação.</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17.5 - </w:t>
      </w:r>
      <w:r>
        <w:rPr>
          <w:rFonts w:eastAsia="Verdana" w:cs="Verdana" w:ascii="Verdana" w:hAnsi="Verdana"/>
          <w:color w:val="000000"/>
          <w:sz w:val="18"/>
          <w:szCs w:val="18"/>
          <w:shd w:fill="auto" w:val="clear"/>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17.6 - </w:t>
      </w:r>
      <w:r>
        <w:rPr>
          <w:rFonts w:eastAsia="Verdana" w:cs="Verdana" w:ascii="Verdana" w:hAnsi="Verdana"/>
          <w:color w:val="000000"/>
          <w:sz w:val="18"/>
          <w:szCs w:val="18"/>
          <w:shd w:fill="auto" w:val="clear"/>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1"/>
        <w:pBdr/>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17.7 - </w:t>
      </w:r>
      <w:r>
        <w:rPr>
          <w:rFonts w:eastAsia="Verdana" w:cs="Verdana" w:ascii="Verdana" w:hAnsi="Verdana"/>
          <w:color w:val="000000"/>
          <w:sz w:val="18"/>
          <w:szCs w:val="18"/>
          <w:shd w:fill="auto" w:val="clear"/>
        </w:rPr>
        <w:t>Na contagem dos prazos estabelecidos neste Edital e seus Anexos, excluir-se-á o dia do início e incluir-se-á o do vencimento. Só se iniciam e vencem os prazos em dias de expediente na Administração.</w:t>
      </w:r>
    </w:p>
    <w:p>
      <w:pPr>
        <w:pStyle w:val="Normal1"/>
        <w:pBdr/>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17.8 - </w:t>
      </w:r>
      <w:r>
        <w:rPr>
          <w:rFonts w:eastAsia="Verdana" w:cs="Verdana" w:ascii="Verdana" w:hAnsi="Verdana"/>
          <w:color w:val="000000"/>
          <w:sz w:val="18"/>
          <w:szCs w:val="18"/>
          <w:shd w:fill="auto" w:val="clear"/>
        </w:rPr>
        <w:t>O desatendimento de exigências formais não essenciais não importará o afastamento do licitante, desde que seja possível o aproveitamento do ato, observados os princípios da isonomia e do interesse público.</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17.9 - </w:t>
      </w:r>
      <w:r>
        <w:rPr>
          <w:rFonts w:eastAsia="Verdana" w:cs="Verdana" w:ascii="Verdana" w:hAnsi="Verdana"/>
          <w:color w:val="000000"/>
          <w:sz w:val="18"/>
          <w:szCs w:val="18"/>
          <w:shd w:fill="auto" w:val="clear"/>
        </w:rPr>
        <w:t>Em caso de divergência entre disposições deste Edital e de seus anexos ou demais peças que compõem o processo, prevalecerá as deste Edital.</w:t>
      </w:r>
    </w:p>
    <w:p>
      <w:pPr>
        <w:pStyle w:val="Normal1"/>
        <w:pBdr/>
        <w:tabs>
          <w:tab w:val="clear" w:pos="720"/>
          <w:tab w:val="left" w:pos="0" w:leader="none"/>
          <w:tab w:val="left" w:pos="704"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17.10 - </w:t>
      </w:r>
      <w:r>
        <w:rPr>
          <w:rFonts w:eastAsia="Verdana" w:cs="Verdana" w:ascii="Verdana" w:hAnsi="Verdana"/>
          <w:color w:val="000000"/>
          <w:sz w:val="18"/>
          <w:szCs w:val="18"/>
          <w:shd w:fill="auto" w:val="clear"/>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pPr>
        <w:pStyle w:val="Normal1"/>
        <w:pBdr/>
        <w:tabs>
          <w:tab w:val="clear" w:pos="720"/>
          <w:tab w:val="left" w:pos="0" w:leader="none"/>
          <w:tab w:val="left" w:pos="704" w:leader="none"/>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0" w:leader="none"/>
          <w:tab w:val="left" w:pos="704" w:leader="none"/>
          <w:tab w:val="left" w:pos="1134" w:leader="none"/>
        </w:tabs>
        <w:jc w:val="both"/>
        <w:rPr>
          <w:color w:val="auto"/>
          <w:shd w:fill="auto" w:val="clear"/>
        </w:rPr>
      </w:pPr>
      <w:r>
        <w:rPr>
          <w:rFonts w:eastAsia="Verdana" w:cs="Verdana" w:ascii="Verdana" w:hAnsi="Verdana"/>
          <w:b/>
          <w:color w:val="000000"/>
          <w:sz w:val="18"/>
          <w:szCs w:val="18"/>
          <w:shd w:fill="auto" w:val="clear"/>
        </w:rPr>
        <w:t xml:space="preserve">17.11 - </w:t>
      </w:r>
      <w:r>
        <w:rPr>
          <w:rFonts w:eastAsia="Verdana" w:cs="Verdana" w:ascii="Verdana" w:hAnsi="Verdana"/>
          <w:color w:val="000000"/>
          <w:sz w:val="18"/>
          <w:szCs w:val="18"/>
          <w:shd w:fill="auto" w:val="clear"/>
        </w:rPr>
        <w:t>Fica eleito o foro de Vitória-ES para solucionar as questões decorrentes desta licitação.</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rFonts w:eastAsia="Verdana" w:cs="Verdana" w:ascii="Verdana" w:hAnsi="Verdana"/>
          <w:color w:val="000000"/>
          <w:sz w:val="18"/>
          <w:szCs w:val="18"/>
          <w:shd w:fill="auto" w:val="clear"/>
        </w:rPr>
        <w:t xml:space="preserve">Vitória/ES, </w:t>
      </w:r>
      <w:r>
        <w:rPr>
          <w:rFonts w:eastAsia="Verdana" w:cs="Verdana" w:ascii="Verdana" w:hAnsi="Verdana"/>
          <w:color w:val="000000"/>
          <w:sz w:val="18"/>
          <w:szCs w:val="18"/>
          <w:shd w:fill="auto" w:val="clear"/>
        </w:rPr>
        <w:t>09</w:t>
      </w:r>
      <w:r>
        <w:rPr>
          <w:rFonts w:eastAsia="Verdana" w:cs="Verdana" w:ascii="Verdana" w:hAnsi="Verdana"/>
          <w:color w:val="000000"/>
          <w:sz w:val="18"/>
          <w:szCs w:val="18"/>
          <w:shd w:fill="auto" w:val="clear"/>
        </w:rPr>
        <w:t xml:space="preserve"> de </w:t>
      </w:r>
      <w:r>
        <w:rPr>
          <w:rFonts w:eastAsia="Verdana" w:cs="Verdana" w:ascii="Verdana" w:hAnsi="Verdana"/>
          <w:color w:val="000000"/>
          <w:sz w:val="18"/>
          <w:szCs w:val="18"/>
          <w:shd w:fill="auto" w:val="clear"/>
        </w:rPr>
        <w:t>setembro</w:t>
      </w:r>
      <w:r>
        <w:rPr>
          <w:rFonts w:eastAsia="Verdana" w:cs="Verdana" w:ascii="Verdana" w:hAnsi="Verdana"/>
          <w:color w:val="000000"/>
          <w:sz w:val="18"/>
          <w:szCs w:val="18"/>
          <w:shd w:fill="auto" w:val="clear"/>
        </w:rPr>
        <w:t xml:space="preserve"> de </w:t>
      </w:r>
      <w:r>
        <w:rPr>
          <w:rFonts w:eastAsia="Verdana" w:cs="Verdana" w:ascii="Verdana" w:hAnsi="Verdana"/>
          <w:color w:val="000000"/>
          <w:sz w:val="18"/>
          <w:szCs w:val="18"/>
          <w:shd w:fill="auto" w:val="clear"/>
        </w:rPr>
        <w:t>2024</w:t>
      </w:r>
      <w:r>
        <w:rPr>
          <w:rFonts w:eastAsia="Verdana" w:cs="Verdana" w:ascii="Verdana" w:hAnsi="Verdana"/>
          <w:color w:val="000000"/>
          <w:sz w:val="18"/>
          <w:szCs w:val="18"/>
          <w:shd w:fill="auto" w:val="clear"/>
        </w:rPr>
        <w:t>.</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right"/>
        <w:rPr>
          <w:color w:val="auto"/>
          <w:shd w:fill="auto" w:val="clear"/>
        </w:rPr>
      </w:pPr>
      <w:r>
        <w:rPr>
          <w:color w:val="000000"/>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30225" w:leader="none"/>
          <w:tab w:val="left" w:pos="25530" w:leader="none"/>
        </w:tabs>
        <w:ind w:left="851" w:hanging="851"/>
        <w:jc w:val="center"/>
        <w:rPr>
          <w:color w:val="auto"/>
          <w:shd w:fill="auto" w:val="clear"/>
        </w:rPr>
      </w:pPr>
      <w:r>
        <w:rPr>
          <w:rFonts w:eastAsia="Verdana" w:cs="Verdana" w:ascii="Verdana" w:hAnsi="Verdana"/>
          <w:b/>
          <w:color w:val="000000"/>
          <w:sz w:val="18"/>
          <w:szCs w:val="18"/>
          <w:shd w:fill="auto" w:val="clear"/>
        </w:rPr>
        <w:t>___________________</w:t>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color w:val="auto"/>
          <w:shd w:fill="auto" w:val="clear"/>
        </w:rPr>
      </w:pPr>
      <w:r>
        <w:rPr>
          <w:rFonts w:eastAsia="Verdana" w:cs="Verdana" w:ascii="Verdana" w:hAnsi="Verdana"/>
          <w:b/>
          <w:color w:val="000000"/>
          <w:sz w:val="18"/>
          <w:szCs w:val="18"/>
          <w:shd w:fill="auto" w:val="clear"/>
        </w:rPr>
        <w:t>Pregoeiro</w:t>
      </w:r>
      <w:r>
        <w:rPr>
          <w:rStyle w:val="Ncoradanotaderodap"/>
          <w:rFonts w:eastAsia="Verdana" w:cs="Verdana" w:ascii="Verdana" w:hAnsi="Verdana"/>
          <w:b/>
          <w:color w:val="000000"/>
          <w:sz w:val="18"/>
          <w:szCs w:val="18"/>
          <w:shd w:fill="auto" w:val="clear"/>
          <w:vertAlign w:val="superscript"/>
        </w:rPr>
        <w:footnoteReference w:id="2"/>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s>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spacing w:lineRule="auto" w:line="240" w:before="0" w:after="100"/>
        <w:rPr>
          <w:color w:val="auto"/>
          <w:shd w:fill="auto" w:val="clear"/>
        </w:rPr>
      </w:pPr>
      <w:r>
        <w:rPr>
          <w:rFonts w:eastAsia="Verdana" w:cs="Verdana" w:ascii="Verdana" w:hAnsi="Verdana"/>
          <w:color w:val="000000"/>
          <w:sz w:val="16"/>
          <w:szCs w:val="16"/>
          <w:shd w:fill="auto" w:val="clear"/>
        </w:rPr>
        <w:t>Edital assinado e rubricado pelo(a) Pregoeiro(a) em obediência à Ordem de Serviço n.º 003/2016, publicada pela Secretaria Geral no Diário da Justiça do dia 19/04/201</w:t>
      </w:r>
    </w:p>
    <w:p>
      <w:pPr>
        <w:pStyle w:val="Normal1"/>
        <w:pBdr/>
        <w:spacing w:lineRule="auto" w:line="240" w:before="0" w:after="100"/>
        <w:rPr>
          <w:rFonts w:ascii="Verdana" w:hAnsi="Verdana" w:eastAsia="Verdana" w:cs="Verdana"/>
          <w:color w:val="auto"/>
          <w:sz w:val="16"/>
          <w:szCs w:val="16"/>
          <w:shd w:fill="auto" w:val="clear"/>
        </w:rPr>
      </w:pPr>
      <w:r>
        <w:rPr>
          <w:rFonts w:eastAsia="Verdana" w:cs="Verdana" w:ascii="Verdana" w:hAnsi="Verdana"/>
          <w:color w:val="000000"/>
          <w:sz w:val="16"/>
          <w:szCs w:val="16"/>
          <w:shd w:fill="auto" w:val="clear"/>
        </w:rPr>
      </w:r>
    </w:p>
    <w:p>
      <w:pPr>
        <w:pStyle w:val="Normal1"/>
        <w:pBdr/>
        <w:spacing w:lineRule="auto" w:line="240" w:before="0" w:after="100"/>
        <w:rPr>
          <w:rFonts w:ascii="Verdana" w:hAnsi="Verdana" w:eastAsia="Verdana" w:cs="Verdana"/>
          <w:color w:val="auto"/>
          <w:sz w:val="16"/>
          <w:szCs w:val="16"/>
          <w:shd w:fill="auto" w:val="clear"/>
        </w:rPr>
      </w:pPr>
      <w:r>
        <w:rPr>
          <w:rFonts w:eastAsia="Verdana" w:cs="Verdana" w:ascii="Verdana" w:hAnsi="Verdana"/>
          <w:color w:val="000000"/>
          <w:sz w:val="16"/>
          <w:szCs w:val="16"/>
          <w:shd w:fill="auto" w:val="clear"/>
        </w:rPr>
      </w:r>
    </w:p>
    <w:p>
      <w:pPr>
        <w:pStyle w:val="Normal1"/>
        <w:pBdr/>
        <w:shd w:val="clear" w:fill="C0C0C0"/>
        <w:tabs>
          <w:tab w:val="clear" w:pos="720"/>
          <w:tab w:val="left" w:pos="0" w:leader="none"/>
        </w:tabs>
        <w:jc w:val="center"/>
        <w:rPr>
          <w:color w:val="auto"/>
          <w:shd w:fill="auto" w:val="clear"/>
        </w:rPr>
      </w:pPr>
      <w:r>
        <w:rPr>
          <w:rFonts w:eastAsia="Verdana" w:cs="Verdana" w:ascii="Verdana" w:hAnsi="Verdana"/>
          <w:b/>
          <w:color w:val="000000"/>
          <w:sz w:val="18"/>
          <w:szCs w:val="18"/>
          <w:shd w:fill="auto" w:val="clear"/>
        </w:rPr>
        <w:t>ANEXO I – TERMO DE REFERÊNCIA</w:t>
      </w:r>
    </w:p>
    <w:p>
      <w:pPr>
        <w:pStyle w:val="Normal1"/>
        <w:rPr>
          <w:color w:val="auto"/>
          <w:shd w:fill="auto" w:val="clear"/>
        </w:rPr>
      </w:pPr>
      <w:r>
        <w:rPr>
          <w:color w:val="000000"/>
          <w:shd w:fill="auto" w:val="clear"/>
        </w:rPr>
      </w:r>
      <w:bookmarkStart w:id="1" w:name="_heading=h.30j0zll"/>
      <w:bookmarkStart w:id="2" w:name="_heading=h.30j0zll"/>
      <w:bookmarkEnd w:id="2"/>
    </w:p>
    <w:p>
      <w:pPr>
        <w:pStyle w:val="Normal1"/>
        <w:rPr>
          <w:color w:val="auto"/>
          <w:shd w:fill="auto" w:val="clear"/>
        </w:rPr>
      </w:pPr>
      <w:r>
        <w:rPr>
          <w:color w:val="000000"/>
          <w:shd w:fill="auto" w:val="clear"/>
        </w:rPr>
      </w:r>
    </w:p>
    <w:p>
      <w:pPr>
        <w:pStyle w:val="Normal1"/>
        <w:jc w:val="center"/>
        <w:rPr>
          <w:color w:val="auto"/>
          <w:shd w:fill="auto" w:val="clear"/>
        </w:rPr>
      </w:pPr>
      <w:r>
        <w:rPr>
          <w:rFonts w:eastAsia="Verdana" w:cs="Verdana" w:ascii="Verdana" w:hAnsi="Verdana"/>
          <w:b/>
          <w:i/>
          <w:color w:val="000000"/>
          <w:shd w:fill="auto" w:val="clear"/>
        </w:rPr>
        <w:t>Arquivo anexo ao edital</w:t>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shd w:val="clear" w:fill="C0C0C0"/>
        <w:tabs>
          <w:tab w:val="clear" w:pos="720"/>
          <w:tab w:val="left" w:pos="0" w:leader="none"/>
        </w:tabs>
        <w:jc w:val="center"/>
        <w:rPr>
          <w:color w:val="auto"/>
          <w:shd w:fill="auto" w:val="clear"/>
        </w:rPr>
      </w:pPr>
      <w:r>
        <w:rPr>
          <w:rFonts w:eastAsia="Verdana" w:cs="Verdana" w:ascii="Verdana" w:hAnsi="Verdana"/>
          <w:b/>
          <w:color w:val="000000"/>
          <w:sz w:val="18"/>
          <w:szCs w:val="18"/>
          <w:shd w:fill="auto" w:val="clear"/>
        </w:rPr>
        <w:t>ADENDO I – DESCRIÇÃO E FOTO DOS ITENS</w:t>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jc w:val="center"/>
        <w:rPr>
          <w:color w:val="auto"/>
          <w:shd w:fill="auto" w:val="clear"/>
        </w:rPr>
      </w:pPr>
      <w:r>
        <w:rPr>
          <w:rFonts w:eastAsia="Verdana" w:cs="Verdana" w:ascii="Verdana" w:hAnsi="Verdana"/>
          <w:b/>
          <w:i/>
          <w:color w:val="000000"/>
          <w:shd w:fill="auto" w:val="clear"/>
        </w:rPr>
        <w:t>Arquivo anexo ao edital</w:t>
      </w:r>
    </w:p>
    <w:p>
      <w:pPr>
        <w:pStyle w:val="Normal1"/>
        <w:jc w:val="center"/>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rPr>
          <w:color w:val="auto"/>
          <w:shd w:fill="auto" w:val="clear"/>
        </w:rPr>
      </w:pPr>
      <w:r>
        <w:rPr>
          <w:color w:val="000000"/>
          <w:shd w:fill="auto" w:val="clear"/>
        </w:rPr>
      </w:r>
    </w:p>
    <w:p>
      <w:pPr>
        <w:pStyle w:val="Normal1"/>
        <w:pBdr/>
        <w:shd w:val="clear" w:fill="C0C0C0"/>
        <w:tabs>
          <w:tab w:val="clear" w:pos="720"/>
          <w:tab w:val="left" w:pos="0" w:leader="none"/>
        </w:tabs>
        <w:jc w:val="center"/>
        <w:rPr>
          <w:color w:val="auto"/>
          <w:shd w:fill="auto" w:val="clear"/>
        </w:rPr>
      </w:pPr>
      <w:r>
        <w:rPr>
          <w:rFonts w:eastAsia="Verdana" w:cs="Verdana" w:ascii="Verdana" w:hAnsi="Verdana"/>
          <w:b/>
          <w:color w:val="000000"/>
          <w:sz w:val="18"/>
          <w:szCs w:val="18"/>
          <w:shd w:fill="auto" w:val="clear"/>
        </w:rPr>
        <w:t>ADENDO II – PLANILHA DE PREÇOS MÁXIMOS/MODELO DE PROPOSTA</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Ao Poder Judiciário do Estado do Espírito Santo</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PREGÃO PE</w:t>
      </w:r>
      <w:r>
        <w:rPr>
          <w:rFonts w:eastAsia="Verdana" w:cs="Verdana" w:ascii="Verdana" w:hAnsi="Verdana"/>
          <w:b/>
          <w:color w:val="000000"/>
          <w:sz w:val="18"/>
          <w:szCs w:val="18"/>
          <w:shd w:fill="auto" w:val="clear"/>
        </w:rPr>
        <w:t>90059/</w:t>
      </w:r>
      <w:r>
        <w:rPr>
          <w:rFonts w:eastAsia="Verdana" w:cs="Verdana" w:ascii="Verdana" w:hAnsi="Verdana"/>
          <w:b/>
          <w:color w:val="000000"/>
          <w:sz w:val="18"/>
          <w:szCs w:val="18"/>
          <w:shd w:fill="auto" w:val="clear"/>
        </w:rPr>
        <w:t>2024</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bookmarkStart w:id="3" w:name="_heading=h.1fob9te"/>
      <w:bookmarkEnd w:id="3"/>
      <w:r>
        <w:rPr>
          <w:rFonts w:eastAsia="Verdana" w:cs="Verdana" w:ascii="Verdana" w:hAnsi="Verdana"/>
          <w:color w:val="000000"/>
          <w:sz w:val="18"/>
          <w:szCs w:val="18"/>
          <w:shd w:fill="auto" w:val="clear"/>
        </w:rPr>
        <w:t xml:space="preserve">Apresentamos a nossa proposta comercial para a </w:t>
      </w:r>
      <w:r>
        <w:rPr>
          <w:rFonts w:eastAsia="Verdana" w:cs="Verdana" w:ascii="Verdana" w:hAnsi="Verdana"/>
          <w:b/>
          <w:color w:val="000000"/>
          <w:sz w:val="18"/>
          <w:szCs w:val="18"/>
          <w:shd w:fill="auto" w:val="clear"/>
        </w:rPr>
        <w:t>eventual aquisição de cadeira infantil para carro para o Tribunal de Justiça do Espírito Santo  - TJES</w:t>
      </w:r>
      <w:r>
        <w:rPr>
          <w:rFonts w:eastAsia="Verdana" w:cs="Verdana" w:ascii="Verdana" w:hAnsi="Verdana"/>
          <w:color w:val="000000"/>
          <w:sz w:val="18"/>
          <w:szCs w:val="18"/>
          <w:shd w:fill="auto" w:val="clear"/>
        </w:rPr>
        <w:t>.</w:t>
      </w:r>
    </w:p>
    <w:p>
      <w:pPr>
        <w:pStyle w:val="Normal1"/>
        <w:widowControl w:val="false"/>
        <w:spacing w:lineRule="auto" w:line="240" w:before="5" w:after="1"/>
        <w:rPr>
          <w:rFonts w:ascii="Calibri" w:hAnsi="Calibri" w:eastAsia="Calibri" w:cs="Calibri"/>
          <w:color w:val="auto"/>
          <w:sz w:val="17"/>
          <w:szCs w:val="17"/>
          <w:shd w:fill="auto" w:val="clear"/>
        </w:rPr>
      </w:pPr>
      <w:r>
        <w:rPr>
          <w:rFonts w:eastAsia="Calibri" w:cs="Calibri" w:ascii="Calibri" w:hAnsi="Calibri"/>
          <w:color w:val="000000"/>
          <w:sz w:val="17"/>
          <w:szCs w:val="17"/>
          <w:shd w:fill="auto" w:val="clear"/>
        </w:rPr>
      </w:r>
    </w:p>
    <w:tbl>
      <w:tblPr>
        <w:tblStyle w:val="Table2"/>
        <w:tblW w:w="9315" w:type="dxa"/>
        <w:jc w:val="left"/>
        <w:tblInd w:w="15" w:type="dxa"/>
        <w:tblLayout w:type="fixed"/>
        <w:tblCellMar>
          <w:top w:w="0" w:type="dxa"/>
          <w:left w:w="108" w:type="dxa"/>
          <w:bottom w:w="0" w:type="dxa"/>
          <w:right w:w="108" w:type="dxa"/>
        </w:tblCellMar>
        <w:tblLook w:val="0000"/>
      </w:tblPr>
      <w:tblGrid>
        <w:gridCol w:w="845"/>
        <w:gridCol w:w="3234"/>
        <w:gridCol w:w="541"/>
        <w:gridCol w:w="855"/>
        <w:gridCol w:w="900"/>
        <w:gridCol w:w="1364"/>
        <w:gridCol w:w="1575"/>
      </w:tblGrid>
      <w:tr>
        <w:trPr>
          <w:trHeight w:val="200" w:hRule="atLeast"/>
        </w:trPr>
        <w:tc>
          <w:tcPr>
            <w:tcW w:w="9314" w:type="dxa"/>
            <w:gridSpan w:val="7"/>
            <w:tcBorders>
              <w:top w:val="single" w:sz="6" w:space="0" w:color="000000"/>
              <w:left w:val="single" w:sz="6" w:space="0" w:color="000000"/>
              <w:bottom w:val="single" w:sz="6" w:space="0" w:color="000000"/>
              <w:right w:val="single" w:sz="6" w:space="0" w:color="000000"/>
            </w:tcBorders>
            <w:shd w:fill="CCCCCC" w:val="clear"/>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ITEM</w:t>
            </w:r>
          </w:p>
        </w:tc>
      </w:tr>
      <w:tr>
        <w:trPr>
          <w:trHeight w:val="195" w:hRule="atLeast"/>
        </w:trPr>
        <w:tc>
          <w:tcPr>
            <w:tcW w:w="845" w:type="dxa"/>
            <w:tcBorders>
              <w:top w:val="single" w:sz="6" w:space="0" w:color="000000"/>
              <w:left w:val="single" w:sz="6" w:space="0" w:color="000000"/>
              <w:bottom w:val="single" w:sz="6" w:space="0" w:color="000000"/>
              <w:right w:val="single" w:sz="6" w:space="0" w:color="000000"/>
            </w:tcBorders>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ITEM</w:t>
            </w:r>
          </w:p>
        </w:tc>
        <w:tc>
          <w:tcPr>
            <w:tcW w:w="3234" w:type="dxa"/>
            <w:tcBorders>
              <w:top w:val="single" w:sz="6" w:space="0" w:color="000000"/>
              <w:left w:val="single" w:sz="6" w:space="0" w:color="000000"/>
              <w:bottom w:val="single" w:sz="6" w:space="0" w:color="000000"/>
              <w:right w:val="single" w:sz="6" w:space="0" w:color="000000"/>
            </w:tcBorders>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DESCRIÇÃO</w:t>
            </w:r>
          </w:p>
        </w:tc>
        <w:tc>
          <w:tcPr>
            <w:tcW w:w="541" w:type="dxa"/>
            <w:tcBorders>
              <w:top w:val="single" w:sz="6" w:space="0" w:color="000000"/>
              <w:left w:val="single" w:sz="6" w:space="0" w:color="000000"/>
              <w:bottom w:val="single" w:sz="6" w:space="0" w:color="000000"/>
              <w:right w:val="single" w:sz="6" w:space="0" w:color="000000"/>
            </w:tcBorders>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UN</w:t>
            </w:r>
          </w:p>
        </w:tc>
        <w:tc>
          <w:tcPr>
            <w:tcW w:w="855" w:type="dxa"/>
            <w:tcBorders>
              <w:top w:val="single" w:sz="6" w:space="0" w:color="000000"/>
              <w:left w:val="single" w:sz="6" w:space="0" w:color="000000"/>
              <w:bottom w:val="single" w:sz="6" w:space="0" w:color="000000"/>
              <w:right w:val="single" w:sz="6" w:space="0" w:color="000000"/>
            </w:tcBorders>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QTD MÍN.</w:t>
            </w:r>
          </w:p>
        </w:tc>
        <w:tc>
          <w:tcPr>
            <w:tcW w:w="900" w:type="dxa"/>
            <w:tcBorders>
              <w:top w:val="single" w:sz="6" w:space="0" w:color="000000"/>
              <w:left w:val="single" w:sz="6" w:space="0" w:color="000000"/>
              <w:bottom w:val="single" w:sz="6" w:space="0" w:color="000000"/>
              <w:right w:val="single" w:sz="6" w:space="0" w:color="000000"/>
            </w:tcBorders>
          </w:tcPr>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QTD</w:t>
            </w:r>
          </w:p>
          <w:p>
            <w:pPr>
              <w:pStyle w:val="Normal1"/>
              <w:widowControl w:val="false"/>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MÁX.</w:t>
            </w:r>
          </w:p>
        </w:tc>
        <w:tc>
          <w:tcPr>
            <w:tcW w:w="1364" w:type="dxa"/>
            <w:tcBorders>
              <w:top w:val="single" w:sz="6" w:space="0" w:color="000000"/>
              <w:left w:val="single" w:sz="6" w:space="0" w:color="000000"/>
              <w:bottom w:val="single" w:sz="6" w:space="0" w:color="000000"/>
              <w:right w:val="single" w:sz="6" w:space="0" w:color="000000"/>
            </w:tcBorders>
          </w:tcPr>
          <w:p>
            <w:pPr>
              <w:pStyle w:val="Normal1"/>
              <w:widowControl w:val="false"/>
              <w:spacing w:lineRule="auto" w:line="184" w:before="5" w:after="0"/>
              <w:ind w:right="-44" w:hanging="0"/>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VALOR UNITÁRIO MÁXIMO</w:t>
            </w:r>
          </w:p>
        </w:tc>
        <w:tc>
          <w:tcPr>
            <w:tcW w:w="1575" w:type="dxa"/>
            <w:tcBorders>
              <w:top w:val="single" w:sz="6" w:space="0" w:color="000000"/>
              <w:left w:val="single" w:sz="6" w:space="0" w:color="000000"/>
              <w:bottom w:val="single" w:sz="6" w:space="0" w:color="000000"/>
              <w:right w:val="single" w:sz="6" w:space="0" w:color="000000"/>
            </w:tcBorders>
          </w:tcPr>
          <w:p>
            <w:pPr>
              <w:pStyle w:val="Normal1"/>
              <w:widowControl w:val="false"/>
              <w:spacing w:lineRule="auto" w:line="184" w:before="5" w:after="0"/>
              <w:ind w:right="-44" w:hanging="0"/>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VALOR TOTAL MÁXIMO</w:t>
            </w:r>
          </w:p>
        </w:tc>
      </w:tr>
      <w:tr>
        <w:trPr>
          <w:trHeight w:val="2175" w:hRule="atLeast"/>
        </w:trPr>
        <w:tc>
          <w:tcPr>
            <w:tcW w:w="845" w:type="dxa"/>
            <w:tcBorders>
              <w:top w:val="single" w:sz="6" w:space="0" w:color="000000"/>
              <w:left w:val="single" w:sz="6" w:space="0" w:color="000000"/>
              <w:bottom w:val="single" w:sz="6" w:space="0" w:color="000000"/>
              <w:right w:val="single" w:sz="6" w:space="0" w:color="000000"/>
            </w:tcBorders>
          </w:tcPr>
          <w:p>
            <w:pPr>
              <w:pStyle w:val="Normal1"/>
              <w:widowControl w:val="false"/>
              <w:ind w:left="325" w:hanging="0"/>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1</w:t>
            </w:r>
          </w:p>
        </w:tc>
        <w:tc>
          <w:tcPr>
            <w:tcW w:w="3234" w:type="dxa"/>
            <w:tcBorders>
              <w:top w:val="single" w:sz="6" w:space="0" w:color="000000"/>
              <w:left w:val="single" w:sz="6" w:space="0" w:color="000000"/>
              <w:bottom w:val="single" w:sz="6" w:space="0" w:color="000000"/>
              <w:right w:val="single" w:sz="6" w:space="0" w:color="000000"/>
            </w:tcBorders>
          </w:tcPr>
          <w:p>
            <w:pPr>
              <w:pStyle w:val="Normal1"/>
              <w:widowControl w:val="false"/>
              <w:spacing w:lineRule="auto" w:line="240" w:before="0" w:after="240"/>
              <w:ind w:left="141" w:right="33" w:hanging="0"/>
              <w:jc w:val="both"/>
              <w:rPr>
                <w:rFonts w:ascii="Verdana" w:hAnsi="Verdana" w:eastAsia="Verdana" w:cs="Verdana"/>
                <w:color w:val="auto"/>
                <w:sz w:val="16"/>
                <w:szCs w:val="16"/>
                <w:shd w:fill="auto" w:val="clear"/>
              </w:rPr>
            </w:pPr>
            <w:r>
              <w:rPr>
                <w:rFonts w:eastAsia="Verdana" w:cs="Verdana" w:ascii="Verdana" w:hAnsi="Verdana"/>
                <w:b/>
                <w:color w:val="000000"/>
                <w:sz w:val="16"/>
                <w:szCs w:val="16"/>
                <w:shd w:fill="auto" w:val="clear"/>
              </w:rPr>
              <w:t>CADEIRA INFANTIL PARA CARRO 0-36KG</w:t>
            </w:r>
            <w:r>
              <w:rPr>
                <w:rFonts w:eastAsia="Verdana" w:cs="Verdana" w:ascii="Verdana" w:hAnsi="Verdana"/>
                <w:color w:val="000000"/>
                <w:sz w:val="16"/>
                <w:szCs w:val="16"/>
                <w:shd w:fill="auto" w:val="clear"/>
              </w:rPr>
              <w:t xml:space="preserve"> Principais Características: Sistema de instalação Isofix com sinalização de travamento correto; 4 posições de altura do cinto de segurança; 4 posições de Reclinação; Tecido macio, acolchoado, removível e lavável; Almofada Redutora de assento e cabeça removível e lavável; Protetor de ombro removível e lavável; Cor Preta; Informações Técnicas; Idade Recomendada: a partir do nascimento (0m+); Peso máximo suportado: 36kg; Selo de Segurança do INMETRO; Composição do Produto: Tecido 100% poliéster e Estrutura: PEAD; Cinto de 5 pontos com ajuste de altura simultaneamente ao apoio da cabeça.Marcas de referência: Burigotto, Cosco, Litet e Safety</w:t>
            </w:r>
          </w:p>
          <w:p>
            <w:pPr>
              <w:pStyle w:val="Normal1"/>
              <w:widowControl w:val="false"/>
              <w:spacing w:lineRule="auto" w:line="240" w:before="10" w:after="0"/>
              <w:ind w:left="141" w:hanging="0"/>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Catmat: 429895</w:t>
            </w:r>
          </w:p>
          <w:p>
            <w:pPr>
              <w:pStyle w:val="Normal1"/>
              <w:widowControl w:val="false"/>
              <w:ind w:left="97" w:hanging="0"/>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r>
          </w:p>
        </w:tc>
        <w:tc>
          <w:tcPr>
            <w:tcW w:w="541" w:type="dxa"/>
            <w:tcBorders>
              <w:top w:val="single" w:sz="6" w:space="0" w:color="000000"/>
              <w:left w:val="single" w:sz="6" w:space="0" w:color="000000"/>
              <w:bottom w:val="single" w:sz="6" w:space="0" w:color="000000"/>
              <w:right w:val="single" w:sz="6" w:space="0" w:color="000000"/>
            </w:tcBorders>
          </w:tcPr>
          <w:p>
            <w:pPr>
              <w:pStyle w:val="Normal1"/>
              <w:widowControl w:val="false"/>
              <w:ind w:left="1" w:hanging="0"/>
              <w:jc w:val="center"/>
              <w:rPr>
                <w:rFonts w:ascii="Verdana" w:hAnsi="Verdana" w:eastAsia="Verdana" w:cs="Verdana"/>
                <w:color w:val="auto"/>
                <w:sz w:val="16"/>
                <w:szCs w:val="16"/>
                <w:shd w:fill="auto" w:val="clear"/>
              </w:rPr>
            </w:pPr>
            <w:r>
              <w:rPr>
                <w:rFonts w:eastAsia="Verdana" w:cs="Verdana" w:ascii="Verdana" w:hAnsi="Verdana"/>
                <w:color w:val="000000"/>
                <w:sz w:val="16"/>
                <w:szCs w:val="16"/>
                <w:shd w:fill="auto" w:val="clear"/>
              </w:rPr>
              <w:t>UN</w:t>
            </w:r>
          </w:p>
        </w:tc>
        <w:tc>
          <w:tcPr>
            <w:tcW w:w="855" w:type="dxa"/>
            <w:tcBorders>
              <w:top w:val="single" w:sz="6" w:space="0" w:color="000000"/>
              <w:left w:val="single" w:sz="6" w:space="0" w:color="000000"/>
              <w:bottom w:val="single" w:sz="6" w:space="0" w:color="000000"/>
              <w:right w:val="single" w:sz="6" w:space="0" w:color="000000"/>
            </w:tcBorders>
          </w:tcPr>
          <w:p>
            <w:pPr>
              <w:pStyle w:val="Normal1"/>
              <w:widowControl w:val="false"/>
              <w:ind w:left="109" w:right="108" w:hanging="0"/>
              <w:jc w:val="center"/>
              <w:rPr>
                <w:rFonts w:ascii="Verdana" w:hAnsi="Verdana" w:eastAsia="Verdana" w:cs="Verdana"/>
                <w:color w:val="auto"/>
                <w:sz w:val="16"/>
                <w:szCs w:val="16"/>
                <w:shd w:fill="auto" w:val="clear"/>
              </w:rPr>
            </w:pPr>
            <w:r>
              <w:rPr>
                <w:rFonts w:eastAsia="Verdana" w:cs="Verdana" w:ascii="Verdana" w:hAnsi="Verdana"/>
                <w:color w:val="000000"/>
                <w:sz w:val="16"/>
                <w:szCs w:val="16"/>
                <w:shd w:fill="auto" w:val="clear"/>
              </w:rPr>
              <w:t>03</w:t>
            </w:r>
          </w:p>
        </w:tc>
        <w:tc>
          <w:tcPr>
            <w:tcW w:w="900" w:type="dxa"/>
            <w:tcBorders>
              <w:top w:val="single" w:sz="6" w:space="0" w:color="000000"/>
              <w:left w:val="single" w:sz="6" w:space="0" w:color="000000"/>
              <w:bottom w:val="single" w:sz="6" w:space="0" w:color="000000"/>
              <w:right w:val="single" w:sz="6" w:space="0" w:color="000000"/>
            </w:tcBorders>
          </w:tcPr>
          <w:p>
            <w:pPr>
              <w:pStyle w:val="Normal1"/>
              <w:widowControl w:val="false"/>
              <w:ind w:left="181" w:right="179" w:hanging="0"/>
              <w:jc w:val="center"/>
              <w:rPr>
                <w:rFonts w:ascii="Verdana" w:hAnsi="Verdana" w:eastAsia="Verdana" w:cs="Verdana"/>
                <w:color w:val="auto"/>
                <w:sz w:val="16"/>
                <w:szCs w:val="16"/>
                <w:shd w:fill="auto" w:val="clear"/>
              </w:rPr>
            </w:pPr>
            <w:r>
              <w:rPr>
                <w:rFonts w:eastAsia="Verdana" w:cs="Verdana" w:ascii="Verdana" w:hAnsi="Verdana"/>
                <w:color w:val="000000"/>
                <w:sz w:val="16"/>
                <w:szCs w:val="16"/>
                <w:shd w:fill="auto" w:val="clear"/>
              </w:rPr>
              <w:t>50</w:t>
            </w:r>
          </w:p>
        </w:tc>
        <w:tc>
          <w:tcPr>
            <w:tcW w:w="1364" w:type="dxa"/>
            <w:tcBorders>
              <w:top w:val="single" w:sz="6" w:space="0" w:color="000000"/>
              <w:left w:val="single" w:sz="6" w:space="0" w:color="000000"/>
              <w:bottom w:val="single" w:sz="6" w:space="0" w:color="000000"/>
              <w:right w:val="single" w:sz="6" w:space="0" w:color="000000"/>
            </w:tcBorders>
          </w:tcPr>
          <w:p>
            <w:pPr>
              <w:pStyle w:val="Normal1"/>
              <w:widowControl w:val="false"/>
              <w:ind w:right="97" w:hanging="0"/>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R$ 1.009,54</w:t>
            </w:r>
          </w:p>
        </w:tc>
        <w:tc>
          <w:tcPr>
            <w:tcW w:w="1575" w:type="dxa"/>
            <w:tcBorders>
              <w:top w:val="single" w:sz="6" w:space="0" w:color="000000"/>
              <w:left w:val="single" w:sz="6" w:space="0" w:color="000000"/>
              <w:bottom w:val="single" w:sz="6" w:space="0" w:color="000000"/>
              <w:right w:val="single" w:sz="6" w:space="0" w:color="000000"/>
            </w:tcBorders>
          </w:tcPr>
          <w:p>
            <w:pPr>
              <w:pStyle w:val="Normal1"/>
              <w:widowControl w:val="false"/>
              <w:ind w:right="97" w:hanging="0"/>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R$50.477,00</w:t>
            </w:r>
          </w:p>
        </w:tc>
      </w:tr>
      <w:tr>
        <w:trPr>
          <w:trHeight w:val="300" w:hRule="atLeast"/>
        </w:trPr>
        <w:tc>
          <w:tcPr>
            <w:tcW w:w="7739" w:type="dxa"/>
            <w:gridSpan w:val="6"/>
            <w:tcBorders>
              <w:top w:val="single" w:sz="6" w:space="0" w:color="000000"/>
              <w:left w:val="single" w:sz="6" w:space="0" w:color="000000"/>
              <w:bottom w:val="single" w:sz="6" w:space="0" w:color="000000"/>
              <w:right w:val="single" w:sz="6" w:space="0" w:color="000000"/>
            </w:tcBorders>
            <w:shd w:fill="CCCCCC" w:val="clear"/>
          </w:tcPr>
          <w:p>
            <w:pPr>
              <w:pStyle w:val="Normal1"/>
              <w:widowControl w:val="false"/>
              <w:ind w:left="0" w:hanging="0"/>
              <w:jc w:val="right"/>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VALOR TOTAL MÁXIMO DO ITEM</w:t>
            </w:r>
          </w:p>
        </w:tc>
        <w:tc>
          <w:tcPr>
            <w:tcW w:w="1575" w:type="dxa"/>
            <w:tcBorders>
              <w:top w:val="single" w:sz="6" w:space="0" w:color="000000"/>
              <w:left w:val="single" w:sz="6" w:space="0" w:color="000000"/>
              <w:bottom w:val="single" w:sz="6" w:space="0" w:color="000000"/>
              <w:right w:val="single" w:sz="6" w:space="0" w:color="000000"/>
            </w:tcBorders>
            <w:shd w:fill="CCCCCC" w:val="clear"/>
          </w:tcPr>
          <w:p>
            <w:pPr>
              <w:pStyle w:val="Normal1"/>
              <w:widowControl w:val="false"/>
              <w:ind w:right="97" w:hanging="0"/>
              <w:jc w:val="center"/>
              <w:rPr>
                <w:rFonts w:ascii="Verdana" w:hAnsi="Verdana" w:eastAsia="Verdana" w:cs="Verdana"/>
                <w:b/>
                <w:b/>
                <w:color w:val="auto"/>
                <w:sz w:val="16"/>
                <w:szCs w:val="16"/>
                <w:shd w:fill="auto" w:val="clear"/>
              </w:rPr>
            </w:pPr>
            <w:r>
              <w:rPr>
                <w:rFonts w:eastAsia="Verdana" w:cs="Verdana" w:ascii="Verdana" w:hAnsi="Verdana"/>
                <w:b/>
                <w:color w:val="000000"/>
                <w:sz w:val="16"/>
                <w:szCs w:val="16"/>
                <w:shd w:fill="auto" w:val="clear"/>
              </w:rPr>
              <w:t>R$ 50.477,00</w:t>
            </w:r>
          </w:p>
        </w:tc>
      </w:tr>
    </w:tbl>
    <w:p>
      <w:pPr>
        <w:pStyle w:val="Normal1"/>
        <w:widowControl w:val="false"/>
        <w:spacing w:lineRule="auto" w:line="240" w:before="3" w:after="0"/>
        <w:rPr>
          <w:rFonts w:ascii="Calibri" w:hAnsi="Calibri" w:eastAsia="Calibri" w:cs="Calibri"/>
          <w:color w:val="auto"/>
          <w:sz w:val="10"/>
          <w:szCs w:val="10"/>
          <w:shd w:fill="auto" w:val="clear"/>
        </w:rPr>
      </w:pPr>
      <w:r>
        <w:rPr>
          <w:rFonts w:eastAsia="Calibri" w:cs="Calibri" w:ascii="Calibri" w:hAnsi="Calibri"/>
          <w:color w:val="000000"/>
          <w:sz w:val="10"/>
          <w:szCs w:val="10"/>
          <w:shd w:fill="auto" w:val="clear"/>
        </w:rPr>
      </w:r>
    </w:p>
    <w:p>
      <w:pPr>
        <w:pStyle w:val="Normal1"/>
        <w:widowControl w:val="false"/>
        <w:spacing w:lineRule="auto" w:line="182"/>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OBSERVAÇÃO: A proposta apresentada deverá atender a todas as condições estipuladas no Termo de Referência e no item 4.7 do Edital.</w:t>
      </w:r>
    </w:p>
    <w:p>
      <w:pPr>
        <w:pStyle w:val="Normal1"/>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2127" w:leader="none"/>
          <w:tab w:val="left" w:pos="-1985" w:leader="none"/>
          <w:tab w:val="left" w:pos="1134" w:leader="none"/>
        </w:tabs>
        <w:jc w:val="both"/>
        <w:rPr>
          <w:color w:val="auto"/>
          <w:shd w:fill="auto" w:val="clear"/>
        </w:rPr>
      </w:pPr>
      <w:r>
        <w:rPr>
          <w:rFonts w:eastAsia="Verdana" w:cs="Verdana" w:ascii="Verdana" w:hAnsi="Verdana"/>
          <w:color w:val="000000"/>
          <w:sz w:val="18"/>
          <w:szCs w:val="18"/>
          <w:shd w:fill="auto" w:val="clear"/>
        </w:rPr>
        <w:t>Em cumprimento à</w:t>
      </w:r>
      <w:r>
        <w:rPr>
          <w:rFonts w:eastAsia="Verdana" w:cs="Verdana" w:ascii="Verdana" w:hAnsi="Verdana"/>
          <w:b/>
          <w:color w:val="000000"/>
          <w:sz w:val="18"/>
          <w:szCs w:val="18"/>
          <w:shd w:fill="auto" w:val="clear"/>
        </w:rPr>
        <w:t xml:space="preserve"> </w:t>
      </w:r>
      <w:r>
        <w:rPr>
          <w:rFonts w:eastAsia="Verdana" w:cs="Verdana" w:ascii="Verdana" w:hAnsi="Verdana"/>
          <w:color w:val="000000"/>
          <w:sz w:val="18"/>
          <w:szCs w:val="18"/>
          <w:shd w:fill="auto" w:val="clear"/>
        </w:rPr>
        <w:t xml:space="preserve">Resolução do </w:t>
      </w:r>
      <w:r>
        <w:rPr>
          <w:rFonts w:eastAsia="Verdana" w:cs="Verdana" w:ascii="Verdana" w:hAnsi="Verdana"/>
          <w:b/>
          <w:color w:val="000000"/>
          <w:sz w:val="18"/>
          <w:szCs w:val="18"/>
          <w:shd w:fill="auto" w:val="clear"/>
        </w:rPr>
        <w:t>CNJ nº 07/2005</w:t>
      </w:r>
      <w:r>
        <w:rPr>
          <w:rFonts w:eastAsia="Verdana" w:cs="Verdana" w:ascii="Verdana" w:hAnsi="Verdana"/>
          <w:color w:val="000000"/>
          <w:sz w:val="18"/>
          <w:szCs w:val="18"/>
          <w:shd w:fill="auto" w:val="clear"/>
        </w:rPr>
        <w:t xml:space="preserve">, atualizada pela </w:t>
      </w:r>
      <w:r>
        <w:rPr>
          <w:rFonts w:eastAsia="Verdana" w:cs="Verdana" w:ascii="Verdana" w:hAnsi="Verdana"/>
          <w:b/>
          <w:color w:val="000000"/>
          <w:sz w:val="18"/>
          <w:szCs w:val="18"/>
          <w:shd w:fill="auto" w:val="clear"/>
        </w:rPr>
        <w:t>Resolução  nº 229, de 22.06.16</w:t>
      </w:r>
      <w:r>
        <w:rPr>
          <w:rFonts w:eastAsia="Verdana" w:cs="Verdana" w:ascii="Verdana" w:hAnsi="Verdana"/>
          <w:color w:val="000000"/>
          <w:sz w:val="18"/>
          <w:szCs w:val="18"/>
          <w:shd w:fill="auto" w:val="clear"/>
        </w:rPr>
        <w:t xml:space="preserve">, </w:t>
      </w:r>
      <w:r>
        <w:rPr>
          <w:rFonts w:eastAsia="Verdana" w:cs="Verdana" w:ascii="Verdana" w:hAnsi="Verdana"/>
          <w:b/>
          <w:color w:val="000000"/>
          <w:sz w:val="18"/>
          <w:szCs w:val="18"/>
          <w:shd w:fill="auto" w:val="clear"/>
        </w:rPr>
        <w:t>D</w:t>
      </w:r>
      <w:r>
        <w:rPr>
          <w:rFonts w:eastAsia="Verdana" w:cs="Verdana" w:ascii="Verdana" w:hAnsi="Verdana"/>
          <w:b/>
          <w:color w:val="000000"/>
          <w:sz w:val="18"/>
          <w:szCs w:val="18"/>
          <w:shd w:fill="auto" w:val="clear"/>
        </w:rPr>
        <w:t>ECLARAMOS</w:t>
      </w:r>
      <w:r>
        <w:rPr>
          <w:rFonts w:eastAsia="Verdana" w:cs="Verdana" w:ascii="Verdana" w:hAnsi="Verdana"/>
          <w:color w:val="000000"/>
          <w:sz w:val="18"/>
          <w:szCs w:val="18"/>
          <w:shd w:fill="auto" w:val="clear"/>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pPr>
        <w:pStyle w:val="Normal1"/>
        <w:tabs>
          <w:tab w:val="clear" w:pos="720"/>
          <w:tab w:val="left" w:pos="-2127" w:leader="none"/>
          <w:tab w:val="left" w:pos="-1985"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2127" w:leader="none"/>
          <w:tab w:val="left" w:pos="-1985" w:leader="none"/>
          <w:tab w:val="left" w:pos="1134" w:leader="none"/>
        </w:tabs>
        <w:jc w:val="both"/>
        <w:rPr>
          <w:color w:val="auto"/>
          <w:shd w:fill="auto" w:val="clear"/>
        </w:rPr>
      </w:pPr>
      <w:r>
        <w:rPr>
          <w:rFonts w:eastAsia="Verdana" w:cs="Verdana" w:ascii="Verdana" w:hAnsi="Verdana"/>
          <w:color w:val="000000"/>
          <w:sz w:val="18"/>
          <w:szCs w:val="18"/>
          <w:shd w:fill="auto" w:val="clear"/>
        </w:rPr>
        <w:t xml:space="preserve">Informamos que a validade da nossa proposta é de </w:t>
      </w:r>
      <w:r>
        <w:rPr>
          <w:rFonts w:eastAsia="Verdana" w:cs="Verdana" w:ascii="Verdana" w:hAnsi="Verdana"/>
          <w:b/>
          <w:color w:val="000000"/>
          <w:sz w:val="18"/>
          <w:szCs w:val="18"/>
          <w:shd w:fill="auto" w:val="clear"/>
        </w:rPr>
        <w:t>90 (noventa)</w:t>
      </w:r>
      <w:r>
        <w:rPr>
          <w:rFonts w:eastAsia="Verdana" w:cs="Verdana" w:ascii="Verdana" w:hAnsi="Verdana"/>
          <w:color w:val="000000"/>
          <w:sz w:val="18"/>
          <w:szCs w:val="18"/>
          <w:shd w:fill="auto" w:val="clear"/>
        </w:rPr>
        <w:t xml:space="preserve"> dias corridos, a contar da data de</w:t>
      </w:r>
    </w:p>
    <w:p>
      <w:pPr>
        <w:pStyle w:val="Normal1"/>
        <w:tabs>
          <w:tab w:val="clear" w:pos="720"/>
          <w:tab w:val="left" w:pos="-2127" w:leader="none"/>
          <w:tab w:val="left" w:pos="-1985" w:leader="none"/>
          <w:tab w:val="left" w:pos="1134" w:leader="none"/>
        </w:tabs>
        <w:jc w:val="both"/>
        <w:rPr>
          <w:color w:val="auto"/>
          <w:shd w:fill="auto" w:val="clear"/>
        </w:rPr>
      </w:pPr>
      <w:r>
        <w:rPr>
          <w:rFonts w:eastAsia="Verdana" w:cs="Verdana" w:ascii="Verdana" w:hAnsi="Verdana"/>
          <w:color w:val="000000"/>
          <w:sz w:val="18"/>
          <w:szCs w:val="18"/>
          <w:shd w:fill="auto" w:val="clear"/>
        </w:rPr>
        <w:t>apresentação.</w:t>
      </w:r>
    </w:p>
    <w:p>
      <w:pPr>
        <w:pStyle w:val="Normal1"/>
        <w:tabs>
          <w:tab w:val="clear" w:pos="720"/>
          <w:tab w:val="left" w:pos="-2127" w:leader="none"/>
          <w:tab w:val="left" w:pos="-1985" w:leader="none"/>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Dados da Empresa:                  Dados do Representante Legal que irá assinar a Ata de RP:</w:t>
      </w:r>
    </w:p>
    <w:p>
      <w:pPr>
        <w:pStyle w:val="Normal1"/>
        <w:jc w:val="both"/>
        <w:rPr>
          <w:color w:val="auto"/>
          <w:shd w:fill="auto" w:val="clear"/>
        </w:rPr>
      </w:pPr>
      <w:r>
        <w:rPr>
          <w:rFonts w:eastAsia="Verdana" w:cs="Verdana" w:ascii="Verdana" w:hAnsi="Verdana"/>
          <w:color w:val="000000"/>
          <w:sz w:val="18"/>
          <w:szCs w:val="18"/>
          <w:shd w:fill="auto" w:val="clear"/>
        </w:rPr>
        <w:t>Razão Social:                             Nome completo do representante:</w:t>
      </w:r>
    </w:p>
    <w:p>
      <w:pPr>
        <w:pStyle w:val="Normal1"/>
        <w:jc w:val="both"/>
        <w:rPr>
          <w:color w:val="auto"/>
          <w:shd w:fill="auto" w:val="clear"/>
        </w:rPr>
      </w:pPr>
      <w:r>
        <w:rPr>
          <w:rFonts w:eastAsia="Verdana" w:cs="Verdana" w:ascii="Verdana" w:hAnsi="Verdana"/>
          <w:color w:val="000000"/>
          <w:sz w:val="18"/>
          <w:szCs w:val="18"/>
          <w:shd w:fill="auto" w:val="clear"/>
        </w:rPr>
        <w:t>Endereço:                                  Cargo:</w:t>
      </w:r>
    </w:p>
    <w:p>
      <w:pPr>
        <w:pStyle w:val="Normal1"/>
        <w:jc w:val="both"/>
        <w:rPr>
          <w:color w:val="auto"/>
          <w:shd w:fill="auto" w:val="clear"/>
        </w:rPr>
      </w:pPr>
      <w:r>
        <w:rPr>
          <w:rFonts w:eastAsia="Verdana" w:cs="Verdana" w:ascii="Verdana" w:hAnsi="Verdana"/>
          <w:color w:val="000000"/>
          <w:sz w:val="18"/>
          <w:szCs w:val="18"/>
          <w:shd w:fill="auto" w:val="clear"/>
        </w:rPr>
        <w:t>CNPJ:                                        RG nº:</w:t>
      </w:r>
    </w:p>
    <w:p>
      <w:pPr>
        <w:pStyle w:val="Normal1"/>
        <w:jc w:val="both"/>
        <w:rPr>
          <w:color w:val="auto"/>
          <w:shd w:fill="auto" w:val="clear"/>
        </w:rPr>
      </w:pPr>
      <w:r>
        <w:rPr>
          <w:rFonts w:eastAsia="Verdana" w:cs="Verdana" w:ascii="Verdana" w:hAnsi="Verdana"/>
          <w:color w:val="000000"/>
          <w:sz w:val="18"/>
          <w:szCs w:val="18"/>
          <w:shd w:fill="auto" w:val="clear"/>
        </w:rPr>
        <w:t>Telefone:                                   CPF nº:</w:t>
      </w:r>
    </w:p>
    <w:p>
      <w:pPr>
        <w:pStyle w:val="Normal1"/>
        <w:jc w:val="both"/>
        <w:rPr>
          <w:color w:val="auto"/>
          <w:shd w:fill="auto" w:val="clear"/>
        </w:rPr>
      </w:pPr>
      <w:r>
        <w:rPr>
          <w:rFonts w:eastAsia="Verdana" w:cs="Verdana" w:ascii="Verdana" w:hAnsi="Verdana"/>
          <w:color w:val="000000"/>
          <w:sz w:val="18"/>
          <w:szCs w:val="18"/>
          <w:shd w:fill="auto" w:val="clear"/>
        </w:rPr>
        <w:t>E-mail:</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right"/>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center"/>
        <w:rPr>
          <w:color w:val="auto"/>
          <w:shd w:fill="auto" w:val="clear"/>
        </w:rPr>
      </w:pPr>
      <w:r>
        <w:rPr>
          <w:rFonts w:eastAsia="Verdana" w:cs="Verdana" w:ascii="Verdana" w:hAnsi="Verdana"/>
          <w:color w:val="000000"/>
          <w:sz w:val="18"/>
          <w:szCs w:val="18"/>
          <w:shd w:fill="auto" w:val="clear"/>
        </w:rPr>
        <w:t>Local e data.</w:t>
      </w:r>
    </w:p>
    <w:p>
      <w:pPr>
        <w:pStyle w:val="Normal1"/>
        <w:jc w:val="right"/>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right"/>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2127" w:leader="none"/>
          <w:tab w:val="left" w:pos="-1985" w:leader="none"/>
          <w:tab w:val="left" w:pos="1134" w:leader="none"/>
        </w:tabs>
        <w:jc w:val="center"/>
        <w:rPr>
          <w:color w:val="auto"/>
          <w:shd w:fill="auto" w:val="clear"/>
        </w:rPr>
      </w:pPr>
      <w:r>
        <w:rPr>
          <w:rFonts w:eastAsia="Verdana" w:cs="Verdana" w:ascii="Verdana" w:hAnsi="Verdana"/>
          <w:b/>
          <w:color w:val="000000"/>
          <w:sz w:val="18"/>
          <w:szCs w:val="18"/>
          <w:shd w:fill="auto" w:val="clear"/>
        </w:rPr>
        <w:t>Empresa/CNPJ</w:t>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left"/>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shd w:val="clear" w:fill="D9D9D9"/>
        <w:jc w:val="center"/>
        <w:rPr>
          <w:color w:val="auto"/>
          <w:shd w:fill="auto" w:val="clear"/>
        </w:rPr>
      </w:pPr>
      <w:r>
        <w:rPr>
          <w:rFonts w:eastAsia="Verdana" w:cs="Verdana" w:ascii="Verdana" w:hAnsi="Verdana"/>
          <w:b/>
          <w:color w:val="000000"/>
          <w:sz w:val="18"/>
          <w:szCs w:val="18"/>
          <w:shd w:fill="auto" w:val="clear"/>
        </w:rPr>
        <w:t>ANEXO II - MINUTA DA ATA DE REGISTRO DE PREÇOS - LEI Nº 14.133/2021</w:t>
      </w:r>
    </w:p>
    <w:p>
      <w:pPr>
        <w:pStyle w:val="Normal1"/>
        <w:jc w:val="center"/>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709" w:leader="none"/>
        </w:tabs>
        <w:jc w:val="center"/>
        <w:rPr>
          <w:color w:val="auto"/>
          <w:shd w:fill="auto" w:val="clear"/>
        </w:rPr>
      </w:pPr>
      <w:r>
        <w:rPr>
          <w:rFonts w:eastAsia="Verdana" w:cs="Verdana" w:ascii="Verdana" w:hAnsi="Verdana"/>
          <w:b/>
          <w:color w:val="000000"/>
          <w:sz w:val="18"/>
          <w:szCs w:val="18"/>
          <w:shd w:fill="auto" w:val="clear"/>
        </w:rPr>
        <w:t>ATA DE REGISTRO DE PREÇOS Nº ARP___/2024</w:t>
      </w:r>
    </w:p>
    <w:p>
      <w:pPr>
        <w:pStyle w:val="Normal1"/>
        <w:pBdr/>
        <w:tabs>
          <w:tab w:val="clear" w:pos="720"/>
          <w:tab w:val="left" w:pos="709" w:leader="none"/>
        </w:tabs>
        <w:jc w:val="center"/>
        <w:rPr>
          <w:color w:val="auto"/>
          <w:shd w:fill="auto" w:val="clear"/>
        </w:rPr>
      </w:pPr>
      <w:r>
        <w:rPr>
          <w:rFonts w:eastAsia="Verdana" w:cs="Verdana" w:ascii="Verdana" w:hAnsi="Verdana"/>
          <w:b/>
          <w:color w:val="000000"/>
          <w:sz w:val="18"/>
          <w:szCs w:val="18"/>
          <w:shd w:fill="auto" w:val="clear"/>
        </w:rPr>
        <w:t>PREGÃO ELETRÔNICO Nº PE___/2024</w:t>
      </w:r>
    </w:p>
    <w:p>
      <w:pPr>
        <w:pStyle w:val="Normal1"/>
        <w:pBdr/>
        <w:tabs>
          <w:tab w:val="clear" w:pos="720"/>
          <w:tab w:val="left" w:pos="709" w:leader="none"/>
        </w:tabs>
        <w:jc w:val="center"/>
        <w:rPr>
          <w:color w:val="auto"/>
          <w:shd w:fill="auto" w:val="clear"/>
        </w:rPr>
      </w:pPr>
      <w:r>
        <w:rPr>
          <w:rFonts w:eastAsia="Verdana" w:cs="Verdana" w:ascii="Verdana" w:hAnsi="Verdana"/>
          <w:b/>
          <w:color w:val="000000"/>
          <w:sz w:val="18"/>
          <w:szCs w:val="18"/>
          <w:shd w:fill="auto" w:val="clear"/>
        </w:rPr>
        <w:t>PROCESSO ADMINISTRATIVO SEI Nº 7000247-48.2024.8.08.0024</w:t>
      </w:r>
    </w:p>
    <w:p>
      <w:pPr>
        <w:pStyle w:val="Normal1"/>
        <w:pBdr/>
        <w:tabs>
          <w:tab w:val="clear" w:pos="720"/>
          <w:tab w:val="left" w:pos="709" w:leader="none"/>
        </w:tabs>
        <w:jc w:val="center"/>
        <w:rPr>
          <w:color w:val="auto"/>
          <w:shd w:fill="auto" w:val="clear"/>
        </w:rPr>
      </w:pPr>
      <w:r>
        <w:rPr>
          <w:rFonts w:eastAsia="Verdana" w:cs="Verdana" w:ascii="Verdana" w:hAnsi="Verdana"/>
          <w:b/>
          <w:color w:val="000000"/>
          <w:sz w:val="18"/>
          <w:szCs w:val="18"/>
          <w:shd w:fill="auto" w:val="clear"/>
        </w:rPr>
        <w:t>CIC-TCEES Nº ________________</w:t>
      </w:r>
    </w:p>
    <w:p>
      <w:pPr>
        <w:pStyle w:val="Normal1"/>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 xml:space="preserve">O </w:t>
      </w:r>
      <w:r>
        <w:rPr>
          <w:rFonts w:eastAsia="Verdana" w:cs="Verdana" w:ascii="Verdana" w:hAnsi="Verdana"/>
          <w:b/>
          <w:color w:val="000000"/>
          <w:sz w:val="18"/>
          <w:szCs w:val="18"/>
          <w:shd w:fill="auto" w:val="clear"/>
        </w:rPr>
        <w:t>ESTADO DO ESPÍRITO SANTO</w:t>
      </w:r>
      <w:r>
        <w:rPr>
          <w:rFonts w:eastAsia="Verdana" w:cs="Verdana" w:ascii="Verdana" w:hAnsi="Verdana"/>
          <w:color w:val="000000"/>
          <w:sz w:val="18"/>
          <w:szCs w:val="18"/>
          <w:shd w:fill="auto" w:val="clear"/>
        </w:rPr>
        <w:t xml:space="preserve">, por intermédio do </w:t>
      </w:r>
      <w:r>
        <w:rPr>
          <w:rFonts w:eastAsia="Verdana" w:cs="Verdana" w:ascii="Verdana" w:hAnsi="Verdana"/>
          <w:b/>
          <w:color w:val="000000"/>
          <w:sz w:val="18"/>
          <w:szCs w:val="18"/>
          <w:shd w:fill="auto" w:val="clear"/>
        </w:rPr>
        <w:t>PODER JUDICIÁRIO DO ESPÍRITO SANTO (PJES)</w:t>
      </w:r>
      <w:r>
        <w:rPr>
          <w:rFonts w:eastAsia="Verdana" w:cs="Verdana" w:ascii="Verdana" w:hAnsi="Verdana"/>
          <w:color w:val="000000"/>
          <w:sz w:val="18"/>
          <w:szCs w:val="18"/>
          <w:shd w:fill="auto" w:val="clear"/>
        </w:rPr>
        <w:t xml:space="preserve">, com sede na Rua Des. Homero Mafra, 60, Enseada do Suá, Vitória/ ES, inscrito no CNPJ/MF nº 27.476.100/0001-45, neste ato, representado por sua Secretária Geral, </w:t>
      </w:r>
      <w:r>
        <w:rPr>
          <w:rFonts w:eastAsia="Verdana" w:cs="Verdana" w:ascii="Verdana" w:hAnsi="Verdana"/>
          <w:b/>
          <w:color w:val="000000"/>
          <w:sz w:val="18"/>
          <w:szCs w:val="18"/>
          <w:shd w:fill="auto" w:val="clear"/>
        </w:rPr>
        <w:t>ALINE CAROLINO SANTOS DAVEL</w:t>
      </w:r>
      <w:r>
        <w:rPr>
          <w:rFonts w:eastAsia="Verdana" w:cs="Verdana" w:ascii="Verdana" w:hAnsi="Verdana"/>
          <w:color w:val="000000"/>
          <w:sz w:val="18"/>
          <w:szCs w:val="18"/>
          <w:shd w:fill="auto" w:val="clear"/>
        </w:rPr>
        <w:t xml:space="preserve">, Matrícula Funcional nº 20797810,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__/__/2024, RESOLVE </w:t>
      </w:r>
      <w:r>
        <w:rPr>
          <w:rFonts w:eastAsia="Verdana" w:cs="Verdana" w:ascii="Verdana" w:hAnsi="Verdana"/>
          <w:b/>
          <w:color w:val="000000"/>
          <w:sz w:val="18"/>
          <w:szCs w:val="18"/>
          <w:shd w:fill="auto" w:val="clear"/>
        </w:rPr>
        <w:t>registrar os preços para eventual aquisição de cadeira infantil para carro para o Tribunal de Justiça do Espírito Santo  - TJES</w:t>
      </w:r>
      <w:r>
        <w:rPr>
          <w:rFonts w:eastAsia="Verdana" w:cs="Verdana" w:ascii="Verdana" w:hAnsi="Verdana"/>
          <w:color w:val="000000"/>
          <w:sz w:val="18"/>
          <w:szCs w:val="18"/>
          <w:shd w:fill="auto" w:val="clear"/>
        </w:rPr>
        <w:t>, conforme especificações constantes do Edital e seus anexos, mediante as condições seguintes: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1 - DA DETENTORA DA ATA REGISTRADA</w:t>
      </w:r>
    </w:p>
    <w:p>
      <w:pPr>
        <w:pStyle w:val="Normal1"/>
        <w:pBdr/>
        <w:tabs>
          <w:tab w:val="clear" w:pos="720"/>
          <w:tab w:val="left" w:pos="1620"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 w:val="left" w:pos="1620" w:leader="none"/>
        </w:tabs>
        <w:jc w:val="both"/>
        <w:rPr>
          <w:color w:val="auto"/>
          <w:shd w:fill="auto" w:val="clear"/>
        </w:rPr>
      </w:pPr>
      <w:r>
        <w:rPr>
          <w:rFonts w:eastAsia="Verdana" w:cs="Verdana" w:ascii="Verdana" w:hAnsi="Verdana"/>
          <w:b/>
          <w:color w:val="000000"/>
          <w:sz w:val="18"/>
          <w:szCs w:val="18"/>
          <w:shd w:fill="auto" w:val="clear"/>
        </w:rPr>
        <w:t>1.1</w:t>
      </w:r>
      <w:r>
        <w:rPr>
          <w:rFonts w:eastAsia="Verdana" w:cs="Verdana" w:ascii="Verdana" w:hAnsi="Verdana"/>
          <w:color w:val="000000"/>
          <w:sz w:val="18"/>
          <w:szCs w:val="18"/>
          <w:shd w:fill="auto" w:val="clear"/>
        </w:rPr>
        <w:t xml:space="preserve"> - A partir desta data, ficam registrados neste Poder os preços do fornecedor a seguir relacionado:</w:t>
      </w:r>
    </w:p>
    <w:p>
      <w:pPr>
        <w:pStyle w:val="Normal1"/>
        <w:pBdr/>
        <w:tabs>
          <w:tab w:val="clear" w:pos="720"/>
          <w:tab w:val="left" w:pos="1134" w:leader="none"/>
          <w:tab w:val="left" w:pos="1620"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Detentora da Ata:</w:t>
      </w:r>
      <w:r>
        <w:rPr>
          <w:rFonts w:eastAsia="Verdana" w:cs="Verdana" w:ascii="Verdana" w:hAnsi="Verdana"/>
          <w:color w:val="000000"/>
          <w:sz w:val="18"/>
          <w:szCs w:val="18"/>
          <w:shd w:fill="auto" w:val="clear"/>
        </w:rPr>
        <w:t xml:space="preserve"> __________________, CNPJ nº ______, com sede no ____________________, CEP _____, telefone nº () _____, e-mail: _______, representada por seu sócio- _________, Sr. _____________ (nome e função, RG e CPF do Contratado).</w:t>
      </w:r>
    </w:p>
    <w:p>
      <w:pPr>
        <w:pStyle w:val="Normal1"/>
        <w:pBdr/>
        <w:tabs>
          <w:tab w:val="clear" w:pos="720"/>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2 - DO MATERIAL E DO PREÇO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2.1</w:t>
      </w:r>
      <w:r>
        <w:rPr>
          <w:rFonts w:eastAsia="Verdana" w:cs="Verdana" w:ascii="Verdana" w:hAnsi="Verdana"/>
          <w:color w:val="000000"/>
          <w:sz w:val="18"/>
          <w:szCs w:val="18"/>
          <w:shd w:fill="auto" w:val="clear"/>
        </w:rPr>
        <w:t xml:space="preserve"> - As partes resolvem registrar preço dos seguintes itens abaixo especificados: </w:t>
      </w:r>
      <w:r>
        <w:rPr>
          <w:rFonts w:eastAsia="Verdana" w:cs="Verdana" w:ascii="Verdana" w:hAnsi="Verdana"/>
          <w:color w:val="000000"/>
          <w:sz w:val="18"/>
          <w:szCs w:val="18"/>
          <w:shd w:fill="auto" w:val="clear"/>
        </w:rPr>
        <w:t>(A ser preenchido com a descrição completa dos itens, quantitativo mínimo e máximo, e valores unitários da empresa vencedora)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pPr>
      <w:r>
        <w:rPr>
          <w:rFonts w:eastAsia="Verdana" w:cs="Verdana" w:ascii="Verdana" w:hAnsi="Verdana"/>
          <w:b/>
          <w:color w:val="000000"/>
          <w:sz w:val="18"/>
          <w:szCs w:val="18"/>
          <w:shd w:fill="auto" w:val="clear"/>
        </w:rPr>
        <w:t>2.2 -</w:t>
      </w:r>
      <w:r>
        <w:rPr>
          <w:rFonts w:eastAsia="Verdana" w:cs="Verdana" w:ascii="Verdana" w:hAnsi="Verdana"/>
          <w:color w:val="000000"/>
          <w:sz w:val="18"/>
          <w:szCs w:val="18"/>
          <w:shd w:fill="auto" w:val="clear"/>
        </w:rPr>
        <w:t> Qualquer interessado poderá verificar a eventual existência de Ata de Formação de Cadastro de Reserva por meio do endereço &lt;</w:t>
      </w:r>
      <w:hyperlink r:id="rId13">
        <w:r>
          <w:rPr>
            <w:rFonts w:eastAsia="Verdana" w:cs="Verdana" w:ascii="Verdana" w:hAnsi="Verdana"/>
            <w:color w:val="000000"/>
            <w:sz w:val="18"/>
            <w:szCs w:val="18"/>
            <w:u w:val="single"/>
            <w:shd w:fill="auto" w:val="clear"/>
          </w:rPr>
          <w:t>http://comprasnet.gov.br/livre/pregao/ata0.asp</w:t>
        </w:r>
      </w:hyperlink>
      <w:r>
        <w:rPr>
          <w:rFonts w:eastAsia="Verdana" w:cs="Verdana" w:ascii="Verdana" w:hAnsi="Verdana"/>
          <w:color w:val="000000"/>
          <w:sz w:val="18"/>
          <w:szCs w:val="18"/>
          <w:shd w:fill="auto" w:val="clear"/>
        </w:rPr>
        <w:t>&gt;, informando o código UASG do Poder Judiciário do Estado do Espírito Santo (925968), o número e ano do pregão</w:t>
      </w:r>
      <w:r>
        <w:rPr>
          <w:rFonts w:eastAsia="Arial" w:cs="Arial" w:ascii="Arial" w:hAnsi="Arial"/>
          <w:color w:val="000000"/>
          <w:sz w:val="23"/>
          <w:szCs w:val="23"/>
          <w:shd w:fill="auto" w:val="clear"/>
        </w:rPr>
        <w:t>.</w:t>
      </w:r>
    </w:p>
    <w:p>
      <w:pPr>
        <w:pStyle w:val="Normal1"/>
        <w:jc w:val="both"/>
        <w:rPr>
          <w:rFonts w:ascii="Arial" w:hAnsi="Arial" w:eastAsia="Arial" w:cs="Arial"/>
          <w:color w:val="auto"/>
          <w:sz w:val="23"/>
          <w:szCs w:val="23"/>
          <w:shd w:fill="auto" w:val="clear"/>
        </w:rPr>
      </w:pPr>
      <w:r>
        <w:rPr>
          <w:rFonts w:eastAsia="Arial" w:cs="Arial" w:ascii="Arial" w:hAnsi="Arial"/>
          <w:color w:val="000000"/>
          <w:sz w:val="23"/>
          <w:szCs w:val="23"/>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 xml:space="preserve">3 - DA VIGÊNCIA DA ATA </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3.1 -</w:t>
      </w:r>
      <w:r>
        <w:rPr>
          <w:rFonts w:eastAsia="Verdana" w:cs="Verdana" w:ascii="Verdana" w:hAnsi="Verdana"/>
          <w:color w:val="000000"/>
          <w:sz w:val="18"/>
          <w:szCs w:val="18"/>
          <w:shd w:fill="auto" w:val="clear"/>
        </w:rPr>
        <w:t xml:space="preserve"> O prazo de vigência da ata de registro de preços será de </w:t>
      </w:r>
      <w:r>
        <w:rPr>
          <w:rFonts w:eastAsia="Verdana" w:cs="Verdana" w:ascii="Verdana" w:hAnsi="Verdana"/>
          <w:b/>
          <w:color w:val="000000"/>
          <w:sz w:val="18"/>
          <w:szCs w:val="18"/>
          <w:shd w:fill="auto" w:val="clear"/>
        </w:rPr>
        <w:t xml:space="preserve">12 (doze) meses, </w:t>
      </w:r>
      <w:r>
        <w:rPr>
          <w:rFonts w:eastAsia="Verdana" w:cs="Verdana" w:ascii="Verdana" w:hAnsi="Verdana"/>
          <w:color w:val="000000"/>
          <w:sz w:val="18"/>
          <w:szCs w:val="18"/>
          <w:shd w:fill="auto" w:val="clear"/>
        </w:rPr>
        <w:t>contado da data da última assinatura, podendo ser prorrogada, por igual período, desde que comprovado o preço vantajoso.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3.1.1 -</w:t>
      </w:r>
      <w:r>
        <w:rPr>
          <w:rFonts w:eastAsia="Verdana" w:cs="Verdana" w:ascii="Verdana" w:hAnsi="Verdana"/>
          <w:color w:val="000000"/>
          <w:sz w:val="18"/>
          <w:szCs w:val="18"/>
          <w:shd w:fill="auto" w:val="clear"/>
        </w:rPr>
        <w:t xml:space="preserve"> No caso de prorrogação do prazo de vigência da ARP, apenas os quantitativos remanescentes não utilizados serão considerados para o novo período de vigência.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3.2 -</w:t>
      </w:r>
      <w:r>
        <w:rPr>
          <w:rFonts w:eastAsia="Verdana" w:cs="Verdana" w:ascii="Verdana" w:hAnsi="Verdana"/>
          <w:color w:val="000000"/>
          <w:sz w:val="18"/>
          <w:szCs w:val="18"/>
          <w:shd w:fill="auto" w:val="clear"/>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4 - DO REAJUSTE</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4.1 -</w:t>
      </w:r>
      <w:r>
        <w:rPr>
          <w:rFonts w:eastAsia="Verdana" w:cs="Verdana" w:ascii="Verdana" w:hAnsi="Verdana"/>
          <w:color w:val="000000"/>
          <w:sz w:val="18"/>
          <w:szCs w:val="18"/>
          <w:shd w:fill="auto" w:val="clear"/>
        </w:rPr>
        <w:t xml:space="preserve"> Os preços inicialmente contratados são fixos e irreajustáveis no prazo de um ano contado da data do orçamento estimado, em </w:t>
      </w:r>
      <w:r>
        <w:rPr>
          <w:rFonts w:eastAsia="Verdana" w:cs="Verdana" w:ascii="Verdana" w:hAnsi="Verdana"/>
          <w:b/>
          <w:color w:val="000000"/>
          <w:sz w:val="18"/>
          <w:szCs w:val="18"/>
          <w:u w:val="single"/>
          <w:shd w:fill="auto" w:val="clear"/>
        </w:rPr>
        <w:t>21/08/2024</w:t>
      </w:r>
      <w:r>
        <w:rPr>
          <w:rFonts w:eastAsia="Verdana" w:cs="Verdana" w:ascii="Verdana" w:hAnsi="Verdana"/>
          <w:color w:val="000000"/>
          <w:sz w:val="18"/>
          <w:szCs w:val="18"/>
          <w:shd w:fill="auto" w:val="clear"/>
        </w:rPr>
        <w:t>.</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4.2 -</w:t>
      </w:r>
      <w:r>
        <w:rPr>
          <w:rFonts w:eastAsia="Verdana" w:cs="Verdana" w:ascii="Verdana" w:hAnsi="Verdana"/>
          <w:color w:val="000000"/>
          <w:sz w:val="18"/>
          <w:szCs w:val="18"/>
          <w:shd w:fill="auto" w:val="clear"/>
        </w:rPr>
        <w:t xml:space="preserve"> Após o interregno de um ano do orçamento estimado, os preços iniciais serão reajustados, mediante a aplicação, pelo contratante, do Índice IPCA do período.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4.3 -</w:t>
      </w:r>
      <w:r>
        <w:rPr>
          <w:rFonts w:eastAsia="Verdana" w:cs="Verdana" w:ascii="Verdana" w:hAnsi="Verdana"/>
          <w:color w:val="000000"/>
          <w:sz w:val="18"/>
          <w:szCs w:val="18"/>
          <w:shd w:fill="auto" w:val="clear"/>
        </w:rPr>
        <w:t xml:space="preserve"> Nos reajustes subsequentes ao primeiro, o interregno mínimo de um ano será contado a partir dos efeitos financeiros do último reajuste.</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color w:val="000000"/>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5 - DO PAGAMENTO</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5.1</w:t>
      </w:r>
      <w:r>
        <w:rPr>
          <w:rFonts w:eastAsia="Verdana" w:cs="Verdana" w:ascii="Verdana" w:hAnsi="Verdana"/>
          <w:color w:val="000000"/>
          <w:sz w:val="18"/>
          <w:szCs w:val="18"/>
          <w:shd w:fill="auto" w:val="clear"/>
        </w:rPr>
        <w:t xml:space="preserve"> - O pagamento será efetuado em até </w:t>
      </w:r>
      <w:r>
        <w:rPr>
          <w:rFonts w:eastAsia="Verdana" w:cs="Verdana" w:ascii="Verdana" w:hAnsi="Verdana"/>
          <w:b/>
          <w:color w:val="000000"/>
          <w:sz w:val="18"/>
          <w:szCs w:val="18"/>
          <w:shd w:fill="auto" w:val="clear"/>
        </w:rPr>
        <w:t xml:space="preserve">10 (dez) dias úteis, </w:t>
      </w:r>
      <w:r>
        <w:rPr>
          <w:rFonts w:eastAsia="Verdana" w:cs="Verdana" w:ascii="Verdana" w:hAnsi="Verdana"/>
          <w:color w:val="000000"/>
          <w:sz w:val="18"/>
          <w:szCs w:val="18"/>
          <w:shd w:fill="auto" w:val="clear"/>
        </w:rPr>
        <w:t>contados a partir do 1º dia útil posterior à assinatura do termo de recebimento definitivo do objeto, devidamente atestada e validada pelo gestor, acompanhada de toda a documentação de regularidade fiscal, sendo efetuada a retenção de tributos e contribuições devidas.</w:t>
      </w:r>
    </w:p>
    <w:p>
      <w:pPr>
        <w:pStyle w:val="Normal1"/>
        <w:tabs>
          <w:tab w:val="clear" w:pos="720"/>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ind w:left="426" w:hanging="0"/>
        <w:jc w:val="both"/>
        <w:rPr>
          <w:color w:val="auto"/>
          <w:shd w:fill="auto" w:val="clear"/>
        </w:rPr>
      </w:pPr>
      <w:r>
        <w:rPr>
          <w:rFonts w:eastAsia="Verdana" w:cs="Verdana" w:ascii="Verdana" w:hAnsi="Verdana"/>
          <w:b/>
          <w:color w:val="000000"/>
          <w:sz w:val="18"/>
          <w:szCs w:val="18"/>
          <w:shd w:fill="auto" w:val="clear"/>
        </w:rPr>
        <w:t>5.1.1</w:t>
      </w:r>
      <w:r>
        <w:rPr>
          <w:rFonts w:eastAsia="Verdana" w:cs="Verdana" w:ascii="Verdana" w:hAnsi="Verdana"/>
          <w:color w:val="000000"/>
          <w:sz w:val="18"/>
          <w:szCs w:val="18"/>
          <w:shd w:fill="auto" w:val="clear"/>
        </w:rPr>
        <w:t xml:space="preserve"> - A DETENTORA deverá apresentar a Nota Fiscal, juntamente com todos os documentos abaixo listados:</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a) </w:t>
      </w:r>
      <w:r>
        <w:rPr>
          <w:rFonts w:eastAsia="Verdana" w:cs="Verdana" w:ascii="Verdana" w:hAnsi="Verdana"/>
          <w:color w:val="000000"/>
          <w:sz w:val="18"/>
          <w:szCs w:val="18"/>
          <w:shd w:fill="auto" w:val="clear"/>
        </w:rPr>
        <w:t xml:space="preserve">Certidão de Regularidade do FGTS (CRF); </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Certidão relativa a Contribuições Previdenciárias;</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Certidão Conjunta de Débitos Relativos a Tributos Federais e à Dívida Ativa da União;</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d) </w:t>
      </w:r>
      <w:r>
        <w:rPr>
          <w:rFonts w:eastAsia="Verdana" w:cs="Verdana" w:ascii="Verdana" w:hAnsi="Verdana"/>
          <w:color w:val="000000"/>
          <w:sz w:val="18"/>
          <w:szCs w:val="18"/>
          <w:shd w:fill="auto" w:val="clear"/>
        </w:rPr>
        <w:t>Certidão Negativa de Débito Estadual;</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e) </w:t>
      </w:r>
      <w:r>
        <w:rPr>
          <w:rFonts w:eastAsia="Verdana" w:cs="Verdana" w:ascii="Verdana" w:hAnsi="Verdana"/>
          <w:color w:val="000000"/>
          <w:sz w:val="18"/>
          <w:szCs w:val="18"/>
          <w:shd w:fill="auto" w:val="clear"/>
        </w:rPr>
        <w:t>Certidão Negativa de Débito Municipal, do Município do Município da empresa;</w:t>
      </w:r>
    </w:p>
    <w:p>
      <w:pPr>
        <w:pStyle w:val="Normal1"/>
        <w:widowControl w:val="false"/>
        <w:ind w:left="709" w:hanging="0"/>
        <w:jc w:val="both"/>
        <w:rPr>
          <w:color w:val="auto"/>
          <w:shd w:fill="auto" w:val="clear"/>
        </w:rPr>
      </w:pPr>
      <w:r>
        <w:rPr>
          <w:rFonts w:eastAsia="Verdana" w:cs="Verdana" w:ascii="Verdana" w:hAnsi="Verdana"/>
          <w:b/>
          <w:color w:val="000000"/>
          <w:sz w:val="18"/>
          <w:szCs w:val="18"/>
          <w:shd w:fill="auto" w:val="clear"/>
        </w:rPr>
        <w:t xml:space="preserve">f) </w:t>
      </w:r>
      <w:r>
        <w:rPr>
          <w:rFonts w:eastAsia="Verdana" w:cs="Verdana" w:ascii="Verdana" w:hAnsi="Verdana"/>
          <w:color w:val="000000"/>
          <w:sz w:val="18"/>
          <w:szCs w:val="18"/>
          <w:shd w:fill="auto" w:val="clear"/>
        </w:rPr>
        <w:t>Certidão Negativa de débitos trabalhista (CNDT);</w:t>
      </w:r>
    </w:p>
    <w:p>
      <w:pPr>
        <w:pStyle w:val="Normal1"/>
        <w:widowControl w:val="false"/>
        <w:ind w:left="709"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 xml:space="preserve">5.2 - </w:t>
      </w:r>
      <w:r>
        <w:rPr>
          <w:rFonts w:eastAsia="Verdana" w:cs="Verdana" w:ascii="Verdana" w:hAnsi="Verdana"/>
          <w:color w:val="000000"/>
          <w:sz w:val="18"/>
          <w:szCs w:val="18"/>
          <w:shd w:fill="auto" w:val="clear"/>
        </w:rPr>
        <w:t>O pagamento será creditado em conta corrente bancária indicada na Nota Fiscal, devendo ficar explícitos o banco, agência, localidade e número da conta corrente.</w:t>
      </w:r>
    </w:p>
    <w:p>
      <w:pPr>
        <w:pStyle w:val="Normal1"/>
        <w:tabs>
          <w:tab w:val="clear" w:pos="720"/>
          <w:tab w:val="left" w:pos="851"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5.3</w:t>
      </w:r>
      <w:r>
        <w:rPr>
          <w:rFonts w:eastAsia="Verdana" w:cs="Verdana" w:ascii="Verdana" w:hAnsi="Verdana"/>
          <w:color w:val="000000"/>
          <w:sz w:val="18"/>
          <w:szCs w:val="18"/>
          <w:shd w:fill="auto" w:val="clear"/>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p>
    <w:p>
      <w:pPr>
        <w:pStyle w:val="Normal1"/>
        <w:tabs>
          <w:tab w:val="clear" w:pos="720"/>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5.4</w:t>
      </w:r>
      <w:r>
        <w:rPr>
          <w:rFonts w:eastAsia="Verdana" w:cs="Verdana" w:ascii="Verdana" w:hAnsi="Verdana"/>
          <w:color w:val="000000"/>
          <w:sz w:val="18"/>
          <w:szCs w:val="18"/>
          <w:shd w:fill="auto" w:val="clear"/>
        </w:rPr>
        <w:t xml:space="preserve"> -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PJ/ES.</w:t>
      </w:r>
    </w:p>
    <w:p>
      <w:pPr>
        <w:pStyle w:val="Normal1"/>
        <w:tabs>
          <w:tab w:val="clear" w:pos="720"/>
          <w:tab w:val="left" w:pos="1134"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FFFFFF"/>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 xml:space="preserve">5.5 </w:t>
      </w:r>
      <w:r>
        <w:rPr>
          <w:rFonts w:eastAsia="Verdana" w:cs="Verdana" w:ascii="Verdana" w:hAnsi="Verdana"/>
          <w:color w:val="000000"/>
          <w:sz w:val="18"/>
          <w:szCs w:val="18"/>
          <w:shd w:fill="auto" w:val="clear"/>
        </w:rPr>
        <w:t>- O CONTRATANTE poderá deduzir do montante a pagar os valores correspondentes a multas, ressarcimentos ou indenizações devidas pela DETENTORA, conforme o Termo, respeitado o contraditório e a ampla defesa.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 xml:space="preserve">6 </w:t>
      </w:r>
      <w:r>
        <w:rPr>
          <w:rFonts w:eastAsia="Verdana" w:cs="Verdana" w:ascii="Verdana" w:hAnsi="Verdana"/>
          <w:b/>
          <w:color w:val="000000"/>
          <w:sz w:val="18"/>
          <w:szCs w:val="18"/>
          <w:shd w:fill="auto" w:val="clear"/>
        </w:rPr>
        <w:t>- DAS CONDIÇÕES GERAIS</w:t>
      </w:r>
    </w:p>
    <w:p>
      <w:pPr>
        <w:pStyle w:val="Normal1"/>
        <w:pBdr/>
        <w:ind w:right="119"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ind w:right="119" w:hanging="0"/>
        <w:jc w:val="both"/>
        <w:rPr>
          <w:color w:val="auto"/>
          <w:shd w:fill="auto" w:val="clear"/>
        </w:rPr>
      </w:pPr>
      <w:r>
        <w:rPr>
          <w:rFonts w:eastAsia="Verdana" w:cs="Verdana" w:ascii="Verdana" w:hAnsi="Verdana"/>
          <w:b/>
          <w:color w:val="000000"/>
          <w:sz w:val="18"/>
          <w:szCs w:val="18"/>
          <w:shd w:fill="auto" w:val="clear"/>
        </w:rPr>
        <w:t xml:space="preserve">6.1 - </w:t>
      </w:r>
      <w:r>
        <w:rPr>
          <w:rFonts w:eastAsia="Verdana" w:cs="Verdana" w:ascii="Verdana" w:hAnsi="Verdana"/>
          <w:color w:val="000000"/>
          <w:sz w:val="18"/>
          <w:szCs w:val="18"/>
          <w:shd w:fill="auto" w:val="clear"/>
        </w:rPr>
        <w:t>As condições gerais do fornecimento e recebimento do objeto, as obrigações da Administração e do fornecedor registrado e demais condições do ajuste, encontram-se definidos no Termo de Referência, Anexo I do Edital.</w:t>
      </w:r>
    </w:p>
    <w:p>
      <w:pPr>
        <w:pStyle w:val="Normal1"/>
        <w:pBdr/>
        <w:ind w:right="119" w:hanging="0"/>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7- DA ADESÃO À ATA DE REGISTRO DE PREÇOS</w:t>
      </w:r>
    </w:p>
    <w:p>
      <w:pPr>
        <w:pStyle w:val="Normal1"/>
        <w:pBdr/>
        <w:ind w:right="119"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ind w:right="119" w:hanging="0"/>
        <w:jc w:val="both"/>
        <w:rPr>
          <w:color w:val="auto"/>
          <w:shd w:fill="auto" w:val="clear"/>
        </w:rPr>
      </w:pPr>
      <w:r>
        <w:rPr>
          <w:rFonts w:eastAsia="Verdana" w:cs="Verdana" w:ascii="Verdana" w:hAnsi="Verdana"/>
          <w:b/>
          <w:color w:val="000000"/>
          <w:sz w:val="18"/>
          <w:szCs w:val="18"/>
          <w:shd w:fill="auto" w:val="clear"/>
        </w:rPr>
        <w:t>7.1 -</w:t>
      </w:r>
      <w:r>
        <w:rPr>
          <w:rFonts w:eastAsia="Verdana" w:cs="Verdana" w:ascii="Verdana" w:hAnsi="Verdana"/>
          <w:color w:val="000000"/>
          <w:sz w:val="18"/>
          <w:szCs w:val="18"/>
          <w:shd w:fill="auto" w:val="clear"/>
        </w:rPr>
        <w:t xml:space="preserve"> Não serão permitidas adesões à presente Ata de Registro de Preços.</w:t>
      </w:r>
    </w:p>
    <w:p>
      <w:pPr>
        <w:pStyle w:val="Normal1"/>
        <w:pBdr/>
        <w:ind w:right="119"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jc w:val="both"/>
        <w:rPr>
          <w:color w:val="auto"/>
          <w:shd w:fill="auto" w:val="clear"/>
        </w:rPr>
      </w:pPr>
      <w:r>
        <w:rPr>
          <w:rFonts w:eastAsia="Verdana" w:cs="Verdana" w:ascii="Verdana" w:hAnsi="Verdana"/>
          <w:b/>
          <w:color w:val="000000"/>
          <w:sz w:val="18"/>
          <w:szCs w:val="18"/>
          <w:shd w:fill="auto" w:val="clear"/>
        </w:rPr>
        <w:t>8 - DO PRAZO E LOCAL DE ENTREGA</w:t>
      </w:r>
    </w:p>
    <w:p>
      <w:pPr>
        <w:pStyle w:val="Normal1"/>
        <w:pBdr/>
        <w:ind w:right="119"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ind w:right="119" w:hanging="0"/>
        <w:jc w:val="both"/>
        <w:rPr>
          <w:color w:val="auto"/>
          <w:shd w:fill="auto" w:val="clear"/>
        </w:rPr>
      </w:pPr>
      <w:r>
        <w:rPr>
          <w:rFonts w:eastAsia="Verdana" w:cs="Verdana" w:ascii="Verdana" w:hAnsi="Verdana"/>
          <w:b/>
          <w:color w:val="000000"/>
          <w:sz w:val="18"/>
          <w:szCs w:val="18"/>
          <w:shd w:fill="auto" w:val="clear"/>
        </w:rPr>
        <w:t xml:space="preserve">8.1 </w:t>
      </w:r>
      <w:r>
        <w:rPr>
          <w:rFonts w:eastAsia="Verdana" w:cs="Verdana" w:ascii="Verdana" w:hAnsi="Verdana"/>
          <w:color w:val="000000"/>
          <w:sz w:val="18"/>
          <w:szCs w:val="18"/>
          <w:shd w:fill="auto" w:val="clear"/>
        </w:rPr>
        <w:t xml:space="preserve">- O prazo para a entrega do material solicitado será de, no máximo, </w:t>
      </w:r>
      <w:r>
        <w:rPr>
          <w:rFonts w:eastAsia="Verdana" w:cs="Verdana" w:ascii="Verdana" w:hAnsi="Verdana"/>
          <w:b/>
          <w:color w:val="000000"/>
          <w:sz w:val="18"/>
          <w:szCs w:val="18"/>
          <w:shd w:fill="auto" w:val="clear"/>
        </w:rPr>
        <w:t>15 (quinze) dias corridos</w:t>
      </w:r>
      <w:r>
        <w:rPr>
          <w:rFonts w:eastAsia="Verdana" w:cs="Verdana" w:ascii="Verdana" w:hAnsi="Verdana"/>
          <w:color w:val="000000"/>
          <w:sz w:val="18"/>
          <w:szCs w:val="18"/>
          <w:shd w:fill="auto" w:val="clear"/>
        </w:rPr>
        <w:t>, a contar do 1º dia útil subsequente à data de recebimento da Ordem de Serviço e Nota de Empenho, na qual irá constar o item e a quantidade a ser entregue. Se o último dia corrido do prazo de entrega for um dia “não útil” (fim de semana ou feriado) o vencimento do prazo de entrega será o primeiro dia útil subsequente.</w:t>
      </w:r>
    </w:p>
    <w:p>
      <w:pPr>
        <w:pStyle w:val="Normal1"/>
        <w:pBdr/>
        <w:ind w:right="119" w:hanging="0"/>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ind w:right="119" w:hanging="0"/>
        <w:jc w:val="both"/>
        <w:rPr>
          <w:color w:val="auto"/>
          <w:shd w:fill="auto" w:val="clear"/>
        </w:rPr>
      </w:pPr>
      <w:r>
        <w:rPr>
          <w:rFonts w:eastAsia="Verdana" w:cs="Verdana" w:ascii="Verdana" w:hAnsi="Verdana"/>
          <w:b/>
          <w:color w:val="000000"/>
          <w:sz w:val="18"/>
          <w:szCs w:val="18"/>
          <w:shd w:fill="auto" w:val="clear"/>
        </w:rPr>
        <w:t>8.2 -</w:t>
      </w:r>
      <w:r>
        <w:rPr>
          <w:rFonts w:eastAsia="Verdana" w:cs="Verdana" w:ascii="Verdana" w:hAnsi="Verdana"/>
          <w:color w:val="000000"/>
          <w:sz w:val="18"/>
          <w:szCs w:val="18"/>
          <w:shd w:fill="auto" w:val="clear"/>
        </w:rPr>
        <w:t xml:space="preserve"> O material solicitado deverá ser entregue:  </w:t>
      </w:r>
      <w:r>
        <w:rPr>
          <w:rFonts w:eastAsia="Calibri" w:cs="Calibri" w:ascii="Calibri" w:hAnsi="Calibri"/>
          <w:color w:val="000000"/>
          <w:sz w:val="18"/>
          <w:szCs w:val="18"/>
          <w:shd w:fill="auto" w:val="clear"/>
        </w:rPr>
        <w:t xml:space="preserve"> </w:t>
      </w:r>
    </w:p>
    <w:p>
      <w:pPr>
        <w:pStyle w:val="Normal1"/>
        <w:numPr>
          <w:ilvl w:val="0"/>
          <w:numId w:val="14"/>
        </w:numPr>
        <w:pBdr/>
        <w:ind w:left="720" w:right="119" w:hanging="360"/>
        <w:jc w:val="both"/>
        <w:rPr>
          <w:color w:val="auto"/>
          <w:shd w:fill="auto" w:val="clear"/>
        </w:rPr>
      </w:pPr>
      <w:r>
        <w:rPr>
          <w:rFonts w:eastAsia="Calibri" w:cs="Calibri" w:ascii="Calibri" w:hAnsi="Calibri"/>
          <w:b/>
          <w:color w:val="000000"/>
          <w:sz w:val="18"/>
          <w:szCs w:val="18"/>
          <w:u w:val="single"/>
          <w:shd w:fill="auto" w:val="clear"/>
        </w:rPr>
        <w:t>GALPÃO</w:t>
      </w:r>
      <w:r>
        <w:rPr>
          <w:rFonts w:eastAsia="Calibri" w:cs="Calibri" w:ascii="Calibri" w:hAnsi="Calibri"/>
          <w:color w:val="000000"/>
          <w:sz w:val="18"/>
          <w:szCs w:val="18"/>
          <w:shd w:fill="auto" w:val="clear"/>
        </w:rPr>
        <w:t xml:space="preserve"> – </w:t>
      </w:r>
      <w:r>
        <w:rPr>
          <w:rFonts w:eastAsia="Calibri" w:cs="Calibri" w:ascii="Calibri" w:hAnsi="Calibri"/>
          <w:b/>
          <w:color w:val="000000"/>
          <w:sz w:val="18"/>
          <w:szCs w:val="18"/>
          <w:shd w:fill="auto" w:val="clear"/>
        </w:rPr>
        <w:t xml:space="preserve">Patrimônio do TJES: </w:t>
      </w:r>
      <w:r>
        <w:rPr>
          <w:rFonts w:eastAsia="Calibri" w:cs="Calibri" w:ascii="Calibri" w:hAnsi="Calibri"/>
          <w:color w:val="000000"/>
          <w:sz w:val="18"/>
          <w:szCs w:val="18"/>
          <w:shd w:fill="auto" w:val="clear"/>
        </w:rPr>
        <w:t>localizado na Rodovia ES 010, Km 4, Jardim Limoeiro, Serra/ES (ponto de referência: em frente ao Cerimonial Steffen);</w:t>
      </w:r>
    </w:p>
    <w:p>
      <w:pPr>
        <w:pStyle w:val="Normal1"/>
        <w:numPr>
          <w:ilvl w:val="0"/>
          <w:numId w:val="14"/>
        </w:numPr>
        <w:pBdr/>
        <w:ind w:left="720" w:right="119" w:hanging="360"/>
        <w:jc w:val="both"/>
        <w:rPr>
          <w:color w:val="auto"/>
          <w:shd w:fill="auto" w:val="clear"/>
        </w:rPr>
      </w:pPr>
      <w:r>
        <w:rPr>
          <w:rFonts w:eastAsia="Calibri" w:cs="Calibri" w:ascii="Calibri" w:hAnsi="Calibri"/>
          <w:b/>
          <w:color w:val="000000"/>
          <w:sz w:val="18"/>
          <w:szCs w:val="18"/>
          <w:u w:val="single"/>
          <w:shd w:fill="auto" w:val="clear"/>
        </w:rPr>
        <w:t>GRANDE VITÓRIA</w:t>
      </w:r>
      <w:r>
        <w:rPr>
          <w:rFonts w:eastAsia="Calibri" w:cs="Calibri" w:ascii="Calibri" w:hAnsi="Calibri"/>
          <w:b/>
          <w:color w:val="000000"/>
          <w:sz w:val="18"/>
          <w:szCs w:val="18"/>
          <w:shd w:fill="auto" w:val="clear"/>
        </w:rPr>
        <w:t xml:space="preserve">: </w:t>
      </w:r>
      <w:r>
        <w:rPr>
          <w:rFonts w:eastAsia="Calibri" w:cs="Calibri" w:ascii="Calibri" w:hAnsi="Calibri"/>
          <w:color w:val="000000"/>
          <w:sz w:val="18"/>
          <w:szCs w:val="18"/>
          <w:shd w:fill="auto" w:val="clear"/>
        </w:rPr>
        <w:t>endereços diversos dos municípios da Grande Vitória, que serão informados pelo Gestor da Ata na Ordem de Entrega.</w:t>
      </w:r>
    </w:p>
    <w:p>
      <w:pPr>
        <w:pStyle w:val="Normal1"/>
        <w:pBdr/>
        <w:ind w:right="119" w:hanging="0"/>
        <w:jc w:val="both"/>
        <w:rPr>
          <w:rFonts w:ascii="Calibri" w:hAnsi="Calibri" w:eastAsia="Calibri" w:cs="Calibri"/>
          <w:color w:val="auto"/>
          <w:sz w:val="24"/>
          <w:szCs w:val="24"/>
          <w:shd w:fill="auto" w:val="clear"/>
        </w:rPr>
      </w:pPr>
      <w:r>
        <w:rPr>
          <w:rFonts w:eastAsia="Calibri" w:cs="Calibri" w:ascii="Calibri" w:hAnsi="Calibri"/>
          <w:color w:val="000000"/>
          <w:sz w:val="24"/>
          <w:szCs w:val="24"/>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9</w:t>
      </w:r>
      <w:r>
        <w:rPr>
          <w:rFonts w:eastAsia="Verdana" w:cs="Verdana" w:ascii="Verdana" w:hAnsi="Verdana"/>
          <w:b/>
          <w:color w:val="000000"/>
          <w:sz w:val="18"/>
          <w:szCs w:val="18"/>
          <w:shd w:fill="auto" w:val="clear"/>
        </w:rPr>
        <w:t>-</w:t>
      </w:r>
      <w:r>
        <w:rPr>
          <w:rFonts w:eastAsia="Verdana" w:cs="Verdana" w:ascii="Verdana" w:hAnsi="Verdana"/>
          <w:b/>
          <w:color w:val="000000"/>
          <w:sz w:val="18"/>
          <w:szCs w:val="18"/>
          <w:shd w:fill="auto" w:val="clear"/>
        </w:rPr>
        <w:t xml:space="preserve"> </w:t>
      </w:r>
      <w:r>
        <w:rPr>
          <w:rFonts w:eastAsia="Verdana" w:cs="Verdana" w:ascii="Verdana" w:hAnsi="Verdana"/>
          <w:b/>
          <w:color w:val="000000"/>
          <w:sz w:val="18"/>
          <w:szCs w:val="18"/>
          <w:shd w:fill="auto" w:val="clear"/>
        </w:rPr>
        <w:t xml:space="preserve">DA ALTERAÇÃO OU ATUALIZAÇÃO DOS PREÇOS </w:t>
      </w:r>
      <w:r>
        <w:rPr>
          <w:rFonts w:eastAsia="Verdana" w:cs="Verdana" w:ascii="Verdana" w:hAnsi="Verdana"/>
          <w:b/>
          <w:color w:val="000000"/>
          <w:sz w:val="18"/>
          <w:szCs w:val="18"/>
          <w:shd w:fill="auto" w:val="clear"/>
        </w:rPr>
        <w:t>REGISTRADOS</w:t>
      </w:r>
    </w:p>
    <w:p>
      <w:pPr>
        <w:pStyle w:val="Normal1"/>
        <w:tabs>
          <w:tab w:val="clear" w:pos="720"/>
          <w:tab w:val="left" w:pos="426"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9.1 -</w:t>
      </w:r>
      <w:r>
        <w:rPr>
          <w:rFonts w:eastAsia="Verdana" w:cs="Verdana" w:ascii="Verdana" w:hAnsi="Verdana"/>
          <w:color w:val="000000"/>
          <w:sz w:val="18"/>
          <w:szCs w:val="18"/>
          <w:shd w:fill="auto" w:val="clear"/>
        </w:rPr>
        <w:t xml:space="preserve"> Os preços registrados poderão ser alterados ou atualizados em decorrência de eventual redução dos preços praticados no mercado ou de fato que eleve o custo dos bens, das obras ou dos serviços registrados, nas seguintes situações: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9.1.1 -</w:t>
      </w:r>
      <w:r>
        <w:rPr>
          <w:rFonts w:eastAsia="Verdana" w:cs="Verdana" w:ascii="Verdana" w:hAnsi="Verdana"/>
          <w:color w:val="000000"/>
          <w:sz w:val="18"/>
          <w:szCs w:val="18"/>
          <w:shd w:fill="auto" w:val="clear"/>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9.1.2 -</w:t>
      </w:r>
      <w:r>
        <w:rPr>
          <w:rFonts w:eastAsia="Verdana" w:cs="Verdana" w:ascii="Verdana" w:hAnsi="Verdana"/>
          <w:color w:val="000000"/>
          <w:sz w:val="18"/>
          <w:szCs w:val="18"/>
          <w:shd w:fill="auto" w:val="clear"/>
        </w:rPr>
        <w:t xml:space="preserve"> Em caso de criação, alteração ou extinção de quaisquer tributos ou encargos legais ou superveniência de disposições legais, com comprovada repercussão sobre os preços registrados; ou</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9.1.3 -</w:t>
      </w:r>
      <w:r>
        <w:rPr>
          <w:rFonts w:eastAsia="Verdana" w:cs="Verdana" w:ascii="Verdana" w:hAnsi="Verdana"/>
          <w:color w:val="000000"/>
          <w:sz w:val="18"/>
          <w:szCs w:val="18"/>
          <w:shd w:fill="auto" w:val="clear"/>
        </w:rPr>
        <w:t xml:space="preserve"> Na hipótese de previsão no edital de cláusula de reajustamento ou repactuação sobre os preços registrados, nos termos do disposto na Lei nº 14.133, de 2021.</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9.2 -</w:t>
      </w:r>
      <w:r>
        <w:rPr>
          <w:rFonts w:eastAsia="Verdana" w:cs="Verdana" w:ascii="Verdana" w:hAnsi="Verdana"/>
          <w:color w:val="000000"/>
          <w:sz w:val="18"/>
          <w:szCs w:val="18"/>
          <w:shd w:fill="auto" w:val="clear"/>
        </w:rPr>
        <w:t xml:space="preserve">  Na hipótese de o preço registrado tornar-se superior ao preço praticado no mercado, por motivo superveniente, o órgão ou a entidade gerenciadora convocará o fornecedor para negociar a redução do preço registrado.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9.2.1 -</w:t>
      </w:r>
      <w:r>
        <w:rPr>
          <w:rFonts w:eastAsia="Verdana" w:cs="Verdana" w:ascii="Verdana" w:hAnsi="Verdana"/>
          <w:color w:val="000000"/>
          <w:sz w:val="18"/>
          <w:szCs w:val="18"/>
          <w:shd w:fill="auto" w:val="clear"/>
        </w:rPr>
        <w:t xml:space="preserve"> Caso não aceite reduzir seu preço aos valores praticados pelo mercado, o fornecedor será liberado do compromisso assumido quanto ao item registrado, sem aplicação de penalidades administrativas.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9.2.2 - </w:t>
      </w:r>
      <w:r>
        <w:rPr>
          <w:rFonts w:eastAsia="Verdana" w:cs="Verdana" w:ascii="Verdana" w:hAnsi="Verdana"/>
          <w:color w:val="000000"/>
          <w:sz w:val="18"/>
          <w:szCs w:val="18"/>
          <w:shd w:fill="auto" w:val="clear"/>
        </w:rPr>
        <w:t xml:space="preserve"> Na hipótese prevista no item 8.2.1 acima, o PJES convocará os fornecedores do cadastro de reserva, na ordem de classificação, para verificar se aceitam reduzir seus preços aos valores de mercado, observado o disposto no item 9.1.3.</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9.2.3 -</w:t>
      </w:r>
      <w:r>
        <w:rPr>
          <w:rFonts w:eastAsia="Verdana" w:cs="Verdana" w:ascii="Verdana" w:hAnsi="Verdana"/>
          <w:color w:val="000000"/>
          <w:sz w:val="18"/>
          <w:szCs w:val="18"/>
          <w:shd w:fill="auto" w:val="clear"/>
        </w:rPr>
        <w:t xml:space="preserve"> Se não obtiver êxito nas negociações, o órgão ou a entidade gerenciadora procederá ao cancelamento da ata de registro de preços, nos termos do disposto no item 9.2, e adotará as medidas cabíveis para a obtenção de contratação mais vantajosa.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9.3 -</w:t>
      </w:r>
      <w:r>
        <w:rPr>
          <w:rFonts w:eastAsia="Verdana" w:cs="Verdana" w:ascii="Verdana" w:hAnsi="Verdana"/>
          <w:color w:val="000000"/>
          <w:sz w:val="18"/>
          <w:szCs w:val="18"/>
          <w:shd w:fill="auto" w:val="clear"/>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9.3.1 - </w:t>
      </w:r>
      <w:r>
        <w:rPr>
          <w:rFonts w:eastAsia="Verdana" w:cs="Verdana" w:ascii="Verdana" w:hAnsi="Verdana"/>
          <w:color w:val="000000"/>
          <w:sz w:val="18"/>
          <w:szCs w:val="18"/>
          <w:shd w:fill="auto" w:val="clear"/>
        </w:rPr>
        <w:t>Para fins do disposto no item 8.3 acima, o fornecedor encaminhará, juntamente com o pedido de alteração, a documentação comprobatória ou a planilha de custos que demonstre a inviabilidade do preço registrado em relação às condições inicialmente pactuadas.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9.3.2 -</w:t>
      </w:r>
      <w:r>
        <w:rPr>
          <w:rFonts w:eastAsia="Verdana" w:cs="Verdana" w:ascii="Verdana" w:hAnsi="Verdana"/>
          <w:color w:val="000000"/>
          <w:sz w:val="18"/>
          <w:szCs w:val="18"/>
          <w:shd w:fill="auto" w:val="clear"/>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9.1, sem prejuízo da aplicação das sanções previstas na Lei nº 14.133, de 2021, e na legislação aplicável.</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9.3.3 - </w:t>
      </w:r>
      <w:r>
        <w:rPr>
          <w:rFonts w:eastAsia="Verdana" w:cs="Verdana" w:ascii="Verdana" w:hAnsi="Verdana"/>
          <w:color w:val="000000"/>
          <w:sz w:val="18"/>
          <w:szCs w:val="18"/>
          <w:shd w:fill="auto" w:val="clear"/>
        </w:rPr>
        <w:t>Na hipótese de cancelamento do registro do fornecedor, nos termos do disposto no item 7.3.2, o gerenciador convocará os fornecedores do cadastro de reserva, na ordem de classificação, para verificar se aceitam manter seus preços registrados, observado o disposto no § 3º do art. 18.</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9.3.4 -</w:t>
      </w:r>
      <w:r>
        <w:rPr>
          <w:rFonts w:eastAsia="Verdana" w:cs="Verdana" w:ascii="Verdana" w:hAnsi="Verdana"/>
          <w:color w:val="000000"/>
          <w:sz w:val="18"/>
          <w:szCs w:val="18"/>
          <w:shd w:fill="auto" w:val="clear"/>
        </w:rPr>
        <w:t xml:space="preserve"> Se não obtiver êxito nas negociações, o órgão ou a entidade gerenciadora procederá ao cancelamento da ata de registro de preços, nos termos do disposto no item 9.2, e adotará as medidas cabíveis para a obtenção da contratação mais vantajosa.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9.3.5 -</w:t>
      </w:r>
      <w:r>
        <w:rPr>
          <w:rFonts w:eastAsia="Verdana" w:cs="Verdana" w:ascii="Verdana" w:hAnsi="Verdana"/>
          <w:color w:val="000000"/>
          <w:sz w:val="18"/>
          <w:szCs w:val="18"/>
          <w:shd w:fill="auto" w:val="clear"/>
        </w:rPr>
        <w:t xml:space="preserve"> Na hipótese de comprovação do disposto no item 8.3 e no item 8.3.1, o órgão ou a entidade gerenciadora atualizará o preço registrado, de acordo com a realidade dos valores praticados pelo mercado.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10</w:t>
      </w:r>
      <w:r>
        <w:rPr>
          <w:rFonts w:eastAsia="Verdana" w:cs="Verdana" w:ascii="Verdana" w:hAnsi="Verdana"/>
          <w:b/>
          <w:color w:val="000000"/>
          <w:sz w:val="18"/>
          <w:szCs w:val="18"/>
          <w:shd w:fill="auto" w:val="clear"/>
        </w:rPr>
        <w:t xml:space="preserve">- DO CANCELAMENTO DO REGISTRO </w:t>
      </w:r>
      <w:r>
        <w:rPr>
          <w:rFonts w:eastAsia="Verdana" w:cs="Verdana" w:ascii="Verdana" w:hAnsi="Verdana"/>
          <w:b/>
          <w:color w:val="000000"/>
          <w:sz w:val="18"/>
          <w:szCs w:val="18"/>
          <w:shd w:fill="auto" w:val="clear"/>
        </w:rPr>
        <w:t>DO FORNECEDOR E DOS PREÇOS REGISTRADOS</w:t>
      </w:r>
      <w:r>
        <w:rPr>
          <w:rFonts w:eastAsia="Verdana" w:cs="Verdana" w:ascii="Verdana" w:hAnsi="Verdana"/>
          <w:b/>
          <w:color w:val="000000"/>
          <w:sz w:val="18"/>
          <w:szCs w:val="18"/>
          <w:shd w:fill="auto" w:val="clear"/>
        </w:rPr>
        <w:t xml:space="preserve">  </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 xml:space="preserve">10.1 - </w:t>
      </w:r>
      <w:r>
        <w:rPr>
          <w:rFonts w:eastAsia="Verdana" w:cs="Verdana" w:ascii="Verdana" w:hAnsi="Verdana"/>
          <w:color w:val="000000"/>
          <w:sz w:val="18"/>
          <w:szCs w:val="18"/>
          <w:shd w:fill="auto" w:val="clear"/>
        </w:rPr>
        <w:t xml:space="preserve"> O </w:t>
      </w:r>
      <w:r>
        <w:rPr>
          <w:rFonts w:eastAsia="Verdana" w:cs="Verdana" w:ascii="Verdana" w:hAnsi="Verdana"/>
          <w:b/>
          <w:color w:val="000000"/>
          <w:sz w:val="18"/>
          <w:szCs w:val="18"/>
          <w:shd w:fill="auto" w:val="clear"/>
        </w:rPr>
        <w:t>registro do fornecedor será cancelado</w:t>
      </w:r>
      <w:r>
        <w:rPr>
          <w:rFonts w:eastAsia="Verdana" w:cs="Verdana" w:ascii="Verdana" w:hAnsi="Verdana"/>
          <w:color w:val="000000"/>
          <w:sz w:val="18"/>
          <w:szCs w:val="18"/>
          <w:shd w:fill="auto" w:val="clear"/>
        </w:rPr>
        <w:t xml:space="preserve"> pelo órgão ou pela entidade gerenciadora, quando o fornecedor:</w:t>
      </w:r>
    </w:p>
    <w:p>
      <w:pPr>
        <w:pStyle w:val="Normal1"/>
        <w:jc w:val="both"/>
        <w:rPr>
          <w:color w:val="auto"/>
          <w:shd w:fill="auto" w:val="clear"/>
        </w:rPr>
      </w:pPr>
      <w:r>
        <w:rPr>
          <w:rFonts w:eastAsia="Verdana" w:cs="Verdana" w:ascii="Verdana" w:hAnsi="Verdana"/>
          <w:b/>
          <w:color w:val="000000"/>
          <w:sz w:val="18"/>
          <w:szCs w:val="18"/>
          <w:shd w:fill="auto" w:val="clear"/>
        </w:rPr>
        <w:t>a)</w:t>
      </w:r>
      <w:r>
        <w:rPr>
          <w:rFonts w:eastAsia="Verdana" w:cs="Verdana" w:ascii="Verdana" w:hAnsi="Verdana"/>
          <w:color w:val="000000"/>
          <w:sz w:val="18"/>
          <w:szCs w:val="18"/>
          <w:shd w:fill="auto" w:val="clear"/>
        </w:rPr>
        <w:t xml:space="preserve"> descumprir as condições da ata de registro de preços sem motivo justificado;</w:t>
      </w:r>
    </w:p>
    <w:p>
      <w:pPr>
        <w:pStyle w:val="Normal1"/>
        <w:jc w:val="both"/>
        <w:rPr>
          <w:color w:val="auto"/>
          <w:shd w:fill="auto" w:val="clear"/>
        </w:rPr>
      </w:pPr>
      <w:r>
        <w:rPr>
          <w:rFonts w:eastAsia="Verdana" w:cs="Verdana" w:ascii="Verdana" w:hAnsi="Verdana"/>
          <w:b/>
          <w:color w:val="000000"/>
          <w:sz w:val="18"/>
          <w:szCs w:val="18"/>
          <w:shd w:fill="auto" w:val="clear"/>
        </w:rPr>
        <w:t xml:space="preserve">b) </w:t>
      </w:r>
      <w:r>
        <w:rPr>
          <w:rFonts w:eastAsia="Verdana" w:cs="Verdana" w:ascii="Verdana" w:hAnsi="Verdana"/>
          <w:color w:val="000000"/>
          <w:sz w:val="18"/>
          <w:szCs w:val="18"/>
          <w:shd w:fill="auto" w:val="clear"/>
        </w:rPr>
        <w:t>não retirar a nota de empenho, ou instrumento equivalente, no prazo estabelecido pela Administração sem justificativa razoável;</w:t>
      </w:r>
    </w:p>
    <w:p>
      <w:pPr>
        <w:pStyle w:val="Normal1"/>
        <w:jc w:val="both"/>
        <w:rPr>
          <w:color w:val="auto"/>
          <w:shd w:fill="auto" w:val="clear"/>
        </w:rPr>
      </w:pPr>
      <w:r>
        <w:rPr>
          <w:rFonts w:eastAsia="Verdana" w:cs="Verdana" w:ascii="Verdana" w:hAnsi="Verdana"/>
          <w:b/>
          <w:color w:val="000000"/>
          <w:sz w:val="18"/>
          <w:szCs w:val="18"/>
          <w:shd w:fill="auto" w:val="clear"/>
        </w:rPr>
        <w:t xml:space="preserve">c) </w:t>
      </w:r>
      <w:r>
        <w:rPr>
          <w:rFonts w:eastAsia="Verdana" w:cs="Verdana" w:ascii="Verdana" w:hAnsi="Verdana"/>
          <w:color w:val="000000"/>
          <w:sz w:val="18"/>
          <w:szCs w:val="18"/>
          <w:shd w:fill="auto" w:val="clear"/>
        </w:rPr>
        <w:t>não aceitar manter seu preço registrado, na hipótese prevista no item 8.3.2; ou</w:t>
      </w:r>
    </w:p>
    <w:p>
      <w:pPr>
        <w:pStyle w:val="Normal1"/>
        <w:jc w:val="both"/>
        <w:rPr>
          <w:color w:val="auto"/>
          <w:shd w:fill="auto" w:val="clear"/>
        </w:rPr>
      </w:pPr>
      <w:r>
        <w:rPr>
          <w:rFonts w:eastAsia="Verdana" w:cs="Verdana" w:ascii="Verdana" w:hAnsi="Verdana"/>
          <w:b/>
          <w:color w:val="000000"/>
          <w:sz w:val="18"/>
          <w:szCs w:val="18"/>
          <w:shd w:fill="auto" w:val="clear"/>
        </w:rPr>
        <w:t>d)</w:t>
      </w:r>
      <w:r>
        <w:rPr>
          <w:rFonts w:eastAsia="Verdana" w:cs="Verdana" w:ascii="Verdana" w:hAnsi="Verdana"/>
          <w:color w:val="000000"/>
          <w:sz w:val="18"/>
          <w:szCs w:val="18"/>
          <w:shd w:fill="auto" w:val="clear"/>
        </w:rPr>
        <w:t xml:space="preserve"> sofrer sanção prevista nos incisos III ou IV do caput do art. 156 da Lei nº 14.133, de 2021.</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10.1.1 -</w:t>
      </w:r>
      <w:r>
        <w:rPr>
          <w:rFonts w:eastAsia="Verdana" w:cs="Verdana" w:ascii="Verdana" w:hAnsi="Verdana"/>
          <w:color w:val="000000"/>
          <w:sz w:val="18"/>
          <w:szCs w:val="18"/>
          <w:shd w:fill="auto" w:val="clear"/>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10.1.2 -</w:t>
      </w:r>
      <w:r>
        <w:rPr>
          <w:rFonts w:eastAsia="Verdana" w:cs="Verdana" w:ascii="Verdana" w:hAnsi="Verdana"/>
          <w:color w:val="000000"/>
          <w:sz w:val="18"/>
          <w:szCs w:val="18"/>
          <w:shd w:fill="auto" w:val="clear"/>
        </w:rPr>
        <w:t xml:space="preserve"> O cancelamento do registro nas hipóteses previstas no item 9.1 acima será formalizado por decisão da Secretaria Geral, garantidos os princípios do contraditório e da ampla defesa.</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10.1.3 -</w:t>
      </w:r>
      <w:r>
        <w:rPr>
          <w:rFonts w:eastAsia="Verdana" w:cs="Verdana" w:ascii="Verdana" w:hAnsi="Verdana"/>
          <w:color w:val="000000"/>
          <w:sz w:val="18"/>
          <w:szCs w:val="18"/>
          <w:shd w:fill="auto" w:val="clear"/>
        </w:rPr>
        <w:t xml:space="preserve"> Na hipótese de cancelamento do registro do fornecedor, o PJES poderá convocar os licitantes que compõem o cadastro de reserva, observada a ordem de classificação.</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10.2 -</w:t>
      </w:r>
      <w:r>
        <w:rPr>
          <w:rFonts w:eastAsia="Verdana" w:cs="Verdana" w:ascii="Verdana" w:hAnsi="Verdana"/>
          <w:color w:val="000000"/>
          <w:sz w:val="18"/>
          <w:szCs w:val="18"/>
          <w:shd w:fill="auto" w:val="clear"/>
        </w:rPr>
        <w:t xml:space="preserve"> O </w:t>
      </w:r>
      <w:r>
        <w:rPr>
          <w:rFonts w:eastAsia="Verdana" w:cs="Verdana" w:ascii="Verdana" w:hAnsi="Verdana"/>
          <w:b/>
          <w:color w:val="000000"/>
          <w:sz w:val="18"/>
          <w:szCs w:val="18"/>
          <w:shd w:fill="auto" w:val="clear"/>
        </w:rPr>
        <w:t>cancelamento dos preços registrados</w:t>
      </w:r>
      <w:r>
        <w:rPr>
          <w:rFonts w:eastAsia="Verdana" w:cs="Verdana" w:ascii="Verdana" w:hAnsi="Verdana"/>
          <w:color w:val="000000"/>
          <w:sz w:val="18"/>
          <w:szCs w:val="18"/>
          <w:shd w:fill="auto" w:val="clear"/>
        </w:rPr>
        <w:t xml:space="preserve"> poderá ser realizado pelo gerenciador, em determinada ata de registro de preços, total ou parcialmente, nas seguintes hipóteses, desde que devidamente comprovadas e justificadas:</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10.2.1 -</w:t>
      </w:r>
      <w:r>
        <w:rPr>
          <w:rFonts w:eastAsia="Verdana" w:cs="Verdana" w:ascii="Verdana" w:hAnsi="Verdana"/>
          <w:color w:val="000000"/>
          <w:sz w:val="18"/>
          <w:szCs w:val="18"/>
          <w:shd w:fill="auto" w:val="clear"/>
        </w:rPr>
        <w:t xml:space="preserve"> Por razão de interesse público;</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10.2.2 -</w:t>
      </w:r>
      <w:r>
        <w:rPr>
          <w:rFonts w:eastAsia="Verdana" w:cs="Verdana" w:ascii="Verdana" w:hAnsi="Verdana"/>
          <w:color w:val="000000"/>
          <w:sz w:val="18"/>
          <w:szCs w:val="18"/>
          <w:shd w:fill="auto" w:val="clear"/>
        </w:rPr>
        <w:t xml:space="preserve"> A pedido do fornecedor, decorrente de caso fortuito ou força maior; ou</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10.2.3 -</w:t>
      </w:r>
      <w:r>
        <w:rPr>
          <w:rFonts w:eastAsia="Verdana" w:cs="Verdana" w:ascii="Verdana" w:hAnsi="Verdana"/>
          <w:color w:val="000000"/>
          <w:sz w:val="18"/>
          <w:szCs w:val="18"/>
          <w:shd w:fill="auto" w:val="clear"/>
        </w:rPr>
        <w:t xml:space="preserve"> Se não houver êxito nas negociações, nos termos do disposto no item 8.2.3 e no item 8.3.4.</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 xml:space="preserve">11 </w:t>
      </w:r>
      <w:r>
        <w:rPr>
          <w:rFonts w:eastAsia="Verdana" w:cs="Verdana" w:ascii="Verdana" w:hAnsi="Verdana"/>
          <w:b/>
          <w:color w:val="000000"/>
          <w:sz w:val="18"/>
          <w:szCs w:val="18"/>
          <w:shd w:fill="auto" w:val="clear"/>
        </w:rPr>
        <w:t>- DAS PENALIDADES E DOS PROCEDIMENTOS PARA PENALIZAÇÃO</w:t>
      </w:r>
    </w:p>
    <w:p>
      <w:pPr>
        <w:pStyle w:val="Normal1"/>
        <w:tabs>
          <w:tab w:val="clear" w:pos="720"/>
          <w:tab w:val="left" w:pos="567"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11.1 -</w:t>
      </w:r>
      <w:r>
        <w:rPr>
          <w:rFonts w:eastAsia="Verdana" w:cs="Verdana" w:ascii="Verdana" w:hAnsi="Verdana"/>
          <w:color w:val="000000"/>
          <w:sz w:val="18"/>
          <w:szCs w:val="18"/>
          <w:shd w:fill="auto" w:val="clear"/>
        </w:rPr>
        <w:tab/>
        <w:t>O descumprimento da Ata de Registro de Preços ensejará aplicação das penalidades estabelecidas no Termo de Referência - Anexo I.</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11.1.1 -</w:t>
      </w:r>
      <w:r>
        <w:rPr>
          <w:rFonts w:eastAsia="Verdana" w:cs="Verdana" w:ascii="Verdana" w:hAnsi="Verdana"/>
          <w:color w:val="000000"/>
          <w:sz w:val="18"/>
          <w:szCs w:val="18"/>
          <w:shd w:fill="auto" w:val="clear"/>
        </w:rPr>
        <w:t xml:space="preserve"> As sanções do item acima também se aplicam aos integrantes do cadastro de reserva, em pregão para registro de preços que, convocados, não honrarem o compromisso assumido injustificadamente. </w:t>
      </w:r>
    </w:p>
    <w:p>
      <w:pPr>
        <w:pStyle w:val="Normal1"/>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shd w:val="clear" w:fill="C0C0C0"/>
        <w:jc w:val="both"/>
        <w:rPr>
          <w:color w:val="auto"/>
          <w:shd w:fill="auto" w:val="clear"/>
        </w:rPr>
      </w:pPr>
      <w:r>
        <w:rPr>
          <w:rFonts w:eastAsia="Verdana" w:cs="Verdana" w:ascii="Verdana" w:hAnsi="Verdana"/>
          <w:b/>
          <w:color w:val="000000"/>
          <w:sz w:val="18"/>
          <w:szCs w:val="18"/>
          <w:shd w:fill="auto" w:val="clear"/>
        </w:rPr>
        <w:t>12</w:t>
      </w:r>
      <w:r>
        <w:rPr>
          <w:rFonts w:eastAsia="Verdana" w:cs="Verdana" w:ascii="Verdana" w:hAnsi="Verdana"/>
          <w:b/>
          <w:color w:val="000000"/>
          <w:sz w:val="18"/>
          <w:szCs w:val="18"/>
          <w:shd w:fill="auto" w:val="clear"/>
        </w:rPr>
        <w:t>- DAS DISPOSIÇÕES FINAIS</w:t>
      </w:r>
    </w:p>
    <w:p>
      <w:pPr>
        <w:pStyle w:val="Normal1"/>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tabs>
          <w:tab w:val="clear" w:pos="720"/>
          <w:tab w:val="left" w:pos="1134" w:leader="none"/>
        </w:tabs>
        <w:jc w:val="both"/>
        <w:rPr>
          <w:color w:val="auto"/>
          <w:shd w:fill="auto" w:val="clear"/>
        </w:rPr>
      </w:pPr>
      <w:r>
        <w:rPr>
          <w:rFonts w:eastAsia="Verdana" w:cs="Verdana" w:ascii="Verdana" w:hAnsi="Verdana"/>
          <w:b/>
          <w:color w:val="000000"/>
          <w:sz w:val="18"/>
          <w:szCs w:val="18"/>
          <w:shd w:fill="auto" w:val="clear"/>
        </w:rPr>
        <w:t>12</w:t>
      </w:r>
      <w:r>
        <w:rPr>
          <w:rFonts w:eastAsia="Verdana" w:cs="Verdana" w:ascii="Verdana" w:hAnsi="Verdana"/>
          <w:b/>
          <w:color w:val="000000"/>
          <w:sz w:val="18"/>
          <w:szCs w:val="18"/>
          <w:shd w:fill="auto" w:val="clear"/>
        </w:rPr>
        <w:t>.1</w:t>
      </w:r>
      <w:r>
        <w:rPr>
          <w:rFonts w:eastAsia="Verdana" w:cs="Verdana" w:ascii="Verdana" w:hAnsi="Verdana"/>
          <w:color w:val="000000"/>
          <w:sz w:val="18"/>
          <w:szCs w:val="18"/>
          <w:shd w:fill="auto" w:val="clear"/>
        </w:rPr>
        <w:t xml:space="preserve"> - </w:t>
      </w:r>
      <w:r>
        <w:rPr>
          <w:rFonts w:eastAsia="Verdana" w:cs="Verdana" w:ascii="Verdana" w:hAnsi="Verdana"/>
          <w:color w:val="000000"/>
          <w:sz w:val="18"/>
          <w:szCs w:val="18"/>
          <w:shd w:fill="auto" w:val="clear"/>
        </w:rPr>
        <w:t xml:space="preserve">As especificações técnicas constantes do Edital do Pregão Eletrônico nº </w:t>
      </w:r>
      <w:r>
        <w:rPr>
          <w:rFonts w:eastAsia="Verdana" w:cs="Verdana" w:ascii="Verdana" w:hAnsi="Verdana"/>
          <w:b/>
          <w:color w:val="000000"/>
          <w:sz w:val="18"/>
          <w:szCs w:val="18"/>
          <w:shd w:fill="auto" w:val="clear"/>
        </w:rPr>
        <w:t>PE___/2024</w:t>
      </w:r>
      <w:r>
        <w:rPr>
          <w:rFonts w:eastAsia="Verdana" w:cs="Verdana" w:ascii="Verdana" w:hAnsi="Verdana"/>
          <w:color w:val="000000"/>
          <w:sz w:val="18"/>
          <w:szCs w:val="18"/>
          <w:shd w:fill="auto" w:val="clear"/>
        </w:rPr>
        <w:t xml:space="preserve"> integram esta Ata de Registro de Preços, independentemente de transcrição.</w:t>
      </w:r>
    </w:p>
    <w:p>
      <w:pPr>
        <w:pStyle w:val="Normal1"/>
        <w:pBdr/>
        <w:tabs>
          <w:tab w:val="clear" w:pos="720"/>
          <w:tab w:val="left" w:pos="1134" w:leader="none"/>
        </w:tabs>
        <w:jc w:val="both"/>
        <w:rPr>
          <w:rFonts w:ascii="Verdana" w:hAnsi="Verdana" w:eastAsia="Verdana" w:cs="Verdana"/>
          <w:b/>
          <w:b/>
          <w:color w:val="auto"/>
          <w:sz w:val="18"/>
          <w:szCs w:val="18"/>
          <w:shd w:fill="auto" w:val="clear"/>
        </w:rPr>
      </w:pPr>
      <w:r>
        <w:rPr>
          <w:rFonts w:eastAsia="Verdana" w:cs="Verdana" w:ascii="Verdana" w:hAnsi="Verdana"/>
          <w:b/>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12</w:t>
      </w:r>
      <w:r>
        <w:rPr>
          <w:rFonts w:eastAsia="Verdana" w:cs="Verdana" w:ascii="Verdana" w:hAnsi="Verdana"/>
          <w:b/>
          <w:color w:val="000000"/>
          <w:sz w:val="18"/>
          <w:szCs w:val="18"/>
          <w:shd w:fill="auto" w:val="clear"/>
        </w:rPr>
        <w:t>.2</w:t>
      </w:r>
      <w:r>
        <w:rPr>
          <w:rFonts w:eastAsia="Verdana" w:cs="Verdana" w:ascii="Verdana" w:hAnsi="Verdana"/>
          <w:color w:val="000000"/>
          <w:sz w:val="18"/>
          <w:szCs w:val="18"/>
          <w:shd w:fill="auto" w:val="clear"/>
        </w:rPr>
        <w:t xml:space="preserve"> - Fica eleito o foro de Vitória-ES para solucionar os litígios decorrentes desta Ata, excluído qualquer outro, por mais privilegiado que seja.</w:t>
      </w:r>
    </w:p>
    <w:p>
      <w:pPr>
        <w:pStyle w:val="Normal1"/>
        <w:tabs>
          <w:tab w:val="clear" w:pos="720"/>
          <w:tab w:val="left" w:pos="426" w:leader="none"/>
        </w:tabs>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both"/>
        <w:rPr>
          <w:color w:val="auto"/>
          <w:shd w:fill="auto" w:val="clear"/>
        </w:rPr>
      </w:pPr>
      <w:r>
        <w:rPr>
          <w:rFonts w:eastAsia="Verdana" w:cs="Verdana" w:ascii="Verdana" w:hAnsi="Verdana"/>
          <w:b/>
          <w:color w:val="000000"/>
          <w:sz w:val="18"/>
          <w:szCs w:val="18"/>
          <w:shd w:fill="auto" w:val="clear"/>
        </w:rPr>
        <w:t>12</w:t>
      </w:r>
      <w:r>
        <w:rPr>
          <w:rFonts w:eastAsia="Verdana" w:cs="Verdana" w:ascii="Verdana" w:hAnsi="Verdana"/>
          <w:b/>
          <w:color w:val="000000"/>
          <w:sz w:val="18"/>
          <w:szCs w:val="18"/>
          <w:shd w:fill="auto" w:val="clear"/>
        </w:rPr>
        <w:t>.3</w:t>
      </w:r>
      <w:r>
        <w:rPr>
          <w:rFonts w:eastAsia="Verdana" w:cs="Verdana" w:ascii="Verdana" w:hAnsi="Verdana"/>
          <w:color w:val="000000"/>
          <w:sz w:val="18"/>
          <w:szCs w:val="18"/>
          <w:shd w:fill="auto" w:val="clear"/>
        </w:rPr>
        <w:t xml:space="preserve"> - Aos casos omissos aplicar-se-ão </w:t>
      </w:r>
      <w:r>
        <w:rPr>
          <w:rFonts w:eastAsia="Verdana" w:cs="Verdana" w:ascii="Verdana" w:hAnsi="Verdana"/>
          <w:color w:val="000000"/>
          <w:sz w:val="18"/>
          <w:szCs w:val="18"/>
          <w:shd w:fill="auto" w:val="clear"/>
        </w:rPr>
        <w:t>às disposições</w:t>
      </w:r>
      <w:r>
        <w:rPr>
          <w:rFonts w:eastAsia="Verdana" w:cs="Verdana" w:ascii="Verdana" w:hAnsi="Verdana"/>
          <w:color w:val="000000"/>
          <w:sz w:val="18"/>
          <w:szCs w:val="18"/>
          <w:shd w:fill="auto" w:val="clear"/>
        </w:rPr>
        <w:t xml:space="preserve"> constantes da Lei </w:t>
      </w:r>
      <w:r>
        <w:rPr>
          <w:rFonts w:eastAsia="Verdana" w:cs="Verdana" w:ascii="Verdana" w:hAnsi="Verdana"/>
          <w:color w:val="000000"/>
          <w:sz w:val="18"/>
          <w:szCs w:val="18"/>
          <w:shd w:fill="auto" w:val="clear"/>
        </w:rPr>
        <w:t>14.133/2021</w:t>
      </w:r>
      <w:r>
        <w:rPr>
          <w:rFonts w:eastAsia="Verdana" w:cs="Verdana" w:ascii="Verdana" w:hAnsi="Verdana"/>
          <w:color w:val="000000"/>
          <w:sz w:val="18"/>
          <w:szCs w:val="18"/>
          <w:shd w:fill="auto" w:val="clear"/>
        </w:rPr>
        <w:t xml:space="preserve"> e demais normas aplicáveis.</w:t>
      </w:r>
    </w:p>
    <w:p>
      <w:pPr>
        <w:pStyle w:val="Normal1"/>
        <w:pBdr/>
        <w:ind w:firstLine="1134"/>
        <w:jc w:val="both"/>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tabs>
          <w:tab w:val="clear" w:pos="720"/>
          <w:tab w:val="left" w:pos="12780" w:leader="none"/>
        </w:tabs>
        <w:ind w:left="426" w:hanging="426"/>
        <w:jc w:val="right"/>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center"/>
        <w:rPr>
          <w:color w:val="auto"/>
          <w:shd w:fill="auto" w:val="clear"/>
        </w:rPr>
      </w:pPr>
      <w:r>
        <w:rPr>
          <w:rFonts w:eastAsia="Verdana" w:cs="Verdana" w:ascii="Verdana" w:hAnsi="Verdana"/>
          <w:color w:val="000000"/>
          <w:sz w:val="18"/>
          <w:szCs w:val="18"/>
          <w:shd w:fill="auto" w:val="clear"/>
        </w:rPr>
        <w:t>___________________________________________________</w:t>
      </w:r>
    </w:p>
    <w:p>
      <w:pPr>
        <w:pStyle w:val="Normal1"/>
        <w:jc w:val="center"/>
        <w:rPr>
          <w:color w:val="auto"/>
          <w:shd w:fill="auto" w:val="clear"/>
        </w:rPr>
      </w:pPr>
      <w:r>
        <w:rPr>
          <w:rFonts w:eastAsia="Verdana" w:cs="Verdana" w:ascii="Verdana" w:hAnsi="Verdana"/>
          <w:b/>
          <w:color w:val="000000"/>
          <w:sz w:val="18"/>
          <w:szCs w:val="18"/>
          <w:shd w:fill="auto" w:val="clear"/>
        </w:rPr>
        <w:t>PODER JUDICIÁRIO DO ESTADO DO ESPÍRITO SANTO</w:t>
      </w:r>
    </w:p>
    <w:p>
      <w:pPr>
        <w:pStyle w:val="Normal1"/>
        <w:pBdr/>
        <w:jc w:val="center"/>
        <w:rPr>
          <w:color w:val="auto"/>
          <w:shd w:fill="auto" w:val="clear"/>
        </w:rPr>
      </w:pPr>
      <w:r>
        <w:rPr>
          <w:rFonts w:eastAsia="Verdana" w:cs="Verdana" w:ascii="Verdana" w:hAnsi="Verdana"/>
          <w:b/>
          <w:color w:val="000000"/>
          <w:sz w:val="18"/>
          <w:szCs w:val="18"/>
          <w:shd w:fill="auto" w:val="clear"/>
        </w:rPr>
        <w:t>ALINE CAROLINO SANTOS DAVEL</w:t>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color w:val="auto"/>
          <w:shd w:fill="auto" w:val="clear"/>
        </w:rPr>
      </w:pPr>
      <w:r>
        <w:rPr>
          <w:rFonts w:eastAsia="Verdana" w:cs="Verdana" w:ascii="Verdana" w:hAnsi="Verdana"/>
          <w:color w:val="000000"/>
          <w:sz w:val="18"/>
          <w:szCs w:val="18"/>
          <w:shd w:fill="auto" w:val="clear"/>
        </w:rPr>
        <w:t>____________________________________________________</w:t>
      </w:r>
    </w:p>
    <w:p>
      <w:pPr>
        <w:pStyle w:val="Normal1"/>
        <w:jc w:val="center"/>
        <w:rPr>
          <w:color w:val="auto"/>
          <w:shd w:fill="auto" w:val="clear"/>
        </w:rPr>
      </w:pPr>
      <w:r>
        <w:rPr>
          <w:rFonts w:eastAsia="Verdana" w:cs="Verdana" w:ascii="Verdana" w:hAnsi="Verdana"/>
          <w:b/>
          <w:color w:val="000000"/>
          <w:sz w:val="18"/>
          <w:szCs w:val="18"/>
          <w:shd w:fill="auto" w:val="clear"/>
        </w:rPr>
        <w:t>EMPRESA</w:t>
      </w:r>
    </w:p>
    <w:p>
      <w:pPr>
        <w:pStyle w:val="Normal1"/>
        <w:jc w:val="center"/>
        <w:rPr>
          <w:color w:val="auto"/>
          <w:shd w:fill="auto" w:val="clear"/>
        </w:rPr>
      </w:pPr>
      <w:r>
        <w:rPr>
          <w:rFonts w:eastAsia="Verdana" w:cs="Verdana" w:ascii="Verdana" w:hAnsi="Verdana"/>
          <w:b/>
          <w:color w:val="000000"/>
          <w:sz w:val="18"/>
          <w:szCs w:val="18"/>
          <w:shd w:fill="auto" w:val="clear"/>
        </w:rPr>
        <w:t>Responsável</w:t>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pBdr/>
        <w:jc w:val="center"/>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shd w:val="clear" w:fill="C0C0C0"/>
        <w:jc w:val="center"/>
        <w:rPr>
          <w:color w:val="auto"/>
          <w:shd w:fill="auto" w:val="clear"/>
        </w:rPr>
      </w:pPr>
      <w:r>
        <w:rPr>
          <w:rFonts w:eastAsia="Verdana" w:cs="Verdana" w:ascii="Verdana" w:hAnsi="Verdana"/>
          <w:b/>
          <w:color w:val="000000"/>
          <w:sz w:val="18"/>
          <w:szCs w:val="18"/>
          <w:shd w:fill="auto" w:val="clear"/>
        </w:rPr>
        <w:t>ADENDO I À ATA DE RP – POLÍTICA DO BANCO (BID) SOBRE PRÁTICAS PROIBIDAS</w:t>
      </w:r>
    </w:p>
    <w:p>
      <w:pPr>
        <w:pStyle w:val="Normal1"/>
        <w:spacing w:lineRule="auto" w:line="240" w:before="0" w:after="240"/>
        <w:rPr>
          <w:color w:val="auto"/>
          <w:shd w:fill="auto" w:val="clear"/>
        </w:rPr>
      </w:pPr>
      <w:r>
        <w:rPr>
          <w:color w:val="000000"/>
          <w:shd w:fill="auto" w:val="clear"/>
        </w:rPr>
      </w:r>
    </w:p>
    <w:p>
      <w:pPr>
        <w:pStyle w:val="Normal1"/>
        <w:jc w:val="center"/>
        <w:rPr>
          <w:color w:val="auto"/>
          <w:shd w:fill="auto" w:val="clear"/>
        </w:rPr>
      </w:pPr>
      <w:r>
        <w:rPr>
          <w:rFonts w:eastAsia="Verdana" w:cs="Verdana" w:ascii="Verdana" w:hAnsi="Verdana"/>
          <w:b/>
          <w:color w:val="000000"/>
          <w:sz w:val="18"/>
          <w:szCs w:val="18"/>
          <w:shd w:fill="auto" w:val="clear"/>
        </w:rPr>
        <w:t>Práticas Proibidas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Pr>
          <w:rFonts w:eastAsia="Verdana" w:cs="Verdana" w:ascii="Verdana" w:hAnsi="Verdana"/>
          <w:i/>
          <w:color w:val="000000"/>
          <w:sz w:val="18"/>
          <w:szCs w:val="18"/>
          <w:shd w:fill="auto" w:val="clear"/>
        </w:rPr>
        <w:t>inter alia</w:t>
      </w:r>
      <w:r>
        <w:rPr>
          <w:rFonts w:eastAsia="Verdana" w:cs="Verdana" w:ascii="Verdana" w:hAnsi="Verdana"/>
          <w:color w:val="000000"/>
          <w:sz w:val="18"/>
          <w:szCs w:val="18"/>
          <w:shd w:fill="auto" w:val="clear"/>
        </w:rPr>
        <w:t xml:space="preserve">, solicitantes, concorrentes, fornecedores de bens, empreiteiros, consultores, pessoal, subempreiteiros, subconsultores, prestadores de serviços e concessionárias (incluindo seus respectivos funcionários, empregados e agentes, quer com atribuições expressas ou implícitas), observem os mais altos padrões éticos, e denunciem ao Banco </w:t>
      </w:r>
      <w:r>
        <w:rPr>
          <w:rFonts w:eastAsia="Verdana" w:cs="Verdana" w:ascii="Verdana" w:hAnsi="Verdana"/>
          <w:color w:val="000000"/>
          <w:sz w:val="11"/>
          <w:szCs w:val="11"/>
          <w:shd w:fill="auto" w:val="clear"/>
          <w:vertAlign w:val="superscript"/>
        </w:rPr>
        <w:t xml:space="preserve"> </w:t>
      </w:r>
      <w:r>
        <w:rPr>
          <w:rFonts w:eastAsia="Verdana" w:cs="Verdana" w:ascii="Verdana" w:hAnsi="Verdana"/>
          <w:color w:val="000000"/>
          <w:sz w:val="18"/>
          <w:szCs w:val="18"/>
          <w:shd w:fill="auto" w:val="clear"/>
        </w:rPr>
        <w:t>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p>
    <w:p>
      <w:pPr>
        <w:pStyle w:val="Normal1"/>
        <w:rPr>
          <w:color w:val="auto"/>
          <w:shd w:fill="auto" w:val="clear"/>
        </w:rPr>
      </w:pPr>
      <w:r>
        <w:rPr>
          <w:color w:val="000000"/>
          <w:shd w:fill="auto" w:val="clear"/>
        </w:rPr>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(a) Para fins de cumprimento dessa política, o Banco define os termos indicados a seguir:</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 xml:space="preserve">(i) uma </w:t>
      </w:r>
      <w:r>
        <w:rPr>
          <w:rFonts w:eastAsia="Verdana" w:cs="Verdana" w:ascii="Verdana" w:hAnsi="Verdana"/>
          <w:i/>
          <w:color w:val="000000"/>
          <w:sz w:val="18"/>
          <w:szCs w:val="18"/>
          <w:shd w:fill="auto" w:val="clear"/>
        </w:rPr>
        <w:t>prática corrupta</w:t>
      </w:r>
      <w:r>
        <w:rPr>
          <w:rFonts w:eastAsia="Verdana" w:cs="Verdana" w:ascii="Verdana" w:hAnsi="Verdana"/>
          <w:color w:val="000000"/>
          <w:sz w:val="18"/>
          <w:szCs w:val="18"/>
          <w:shd w:fill="auto" w:val="clear"/>
        </w:rPr>
        <w:t xml:space="preserve"> consiste em oferecer, dar, receber ou solicitar, direta ou indiretamente, qualquer coisa de valor para influenciar as ações de outra parte;</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 xml:space="preserve">(ii) uma </w:t>
      </w:r>
      <w:r>
        <w:rPr>
          <w:rFonts w:eastAsia="Verdana" w:cs="Verdana" w:ascii="Verdana" w:hAnsi="Verdana"/>
          <w:i/>
          <w:color w:val="000000"/>
          <w:sz w:val="18"/>
          <w:szCs w:val="18"/>
          <w:shd w:fill="auto" w:val="clear"/>
        </w:rPr>
        <w:t>prática fraudulenta</w:t>
      </w:r>
      <w:r>
        <w:rPr>
          <w:rFonts w:eastAsia="Verdana" w:cs="Verdana" w:ascii="Verdana" w:hAnsi="Verdana"/>
          <w:color w:val="000000"/>
          <w:sz w:val="18"/>
          <w:szCs w:val="18"/>
          <w:shd w:fill="auto" w:val="clear"/>
        </w:rPr>
        <w:t xml:space="preserve"> é qualquer ato ou omissão, incluindo uma declaração falsa que engane ou tente enganar uma parte para obter benefício financeiro ou de outra natureza ou para evitar uma obrigação;</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 xml:space="preserve">(iii) uma </w:t>
      </w:r>
      <w:r>
        <w:rPr>
          <w:rFonts w:eastAsia="Verdana" w:cs="Verdana" w:ascii="Verdana" w:hAnsi="Verdana"/>
          <w:i/>
          <w:color w:val="000000"/>
          <w:sz w:val="18"/>
          <w:szCs w:val="18"/>
          <w:shd w:fill="auto" w:val="clear"/>
        </w:rPr>
        <w:t>prática coercitiva</w:t>
      </w:r>
      <w:r>
        <w:rPr>
          <w:rFonts w:eastAsia="Verdana" w:cs="Verdana" w:ascii="Verdana" w:hAnsi="Verdana"/>
          <w:color w:val="000000"/>
          <w:sz w:val="18"/>
          <w:szCs w:val="18"/>
          <w:shd w:fill="auto" w:val="clear"/>
        </w:rPr>
        <w:t xml:space="preserve"> consiste em prejudicar ou causar dano ou na ameaça de prejudicar ou de causar dano, direta ou indiretamente, a qualquer parte ou propriedade da parte para influenciar indevidamente as ações de uma parte;</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(iv) uma prática colusiva é um acordo entre duas ou mais partes efetuado com o intuito de alcançar um propósito impróprio, incluindo influenciar impropriamente as ações de outra parte; e</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(v) uma prática obstrutiva consiste em:</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(bb) ameaçar, assediar ou intimidar qualquer parte para impedir a divulgação de seu conhecimento de assuntos que são importantes para a investigação do Grupo BID ou a continuação da investigação; ou</w:t>
      </w:r>
    </w:p>
    <w:p>
      <w:pPr>
        <w:pStyle w:val="Normal1"/>
        <w:spacing w:lineRule="auto" w:line="240" w:before="0" w:after="120"/>
        <w:ind w:left="491" w:hanging="360"/>
        <w:jc w:val="both"/>
        <w:rPr>
          <w:color w:val="auto"/>
          <w:shd w:fill="auto" w:val="clear"/>
        </w:rPr>
      </w:pPr>
      <w:r>
        <w:rPr>
          <w:rFonts w:eastAsia="Verdana" w:cs="Verdana" w:ascii="Verdana" w:hAnsi="Verdana"/>
          <w:color w:val="000000"/>
          <w:sz w:val="18"/>
          <w:szCs w:val="18"/>
          <w:shd w:fill="auto" w:val="clear"/>
        </w:rPr>
        <w:tab/>
        <w:t>(cc) todo ato que vise a impedir materialmente o exercício de inspeção do Grupo BID e dos direitos de auditoria previstos no parágrafo 1.1(f) a seguir; e</w:t>
      </w:r>
    </w:p>
    <w:p>
      <w:pPr>
        <w:pStyle w:val="Normal1"/>
        <w:spacing w:lineRule="auto" w:line="240" w:before="0" w:after="120"/>
        <w:ind w:left="900" w:hanging="0"/>
        <w:jc w:val="both"/>
        <w:rPr>
          <w:color w:val="auto"/>
          <w:shd w:fill="auto" w:val="clear"/>
        </w:rPr>
      </w:pPr>
      <w:r>
        <w:rPr>
          <w:rFonts w:eastAsia="Verdana" w:cs="Verdana" w:ascii="Verdana" w:hAnsi="Verdana"/>
          <w:color w:val="000000"/>
          <w:sz w:val="18"/>
          <w:szCs w:val="18"/>
          <w:shd w:fill="auto" w:val="clear"/>
        </w:rPr>
        <w:t>(vi) A “apropriação indevida” consiste no uso de fundos ou recursos do Grupo BID para um propósito indevido ou para um propósito não autorizado, cometido de forma intencional ou por negligência grave.</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(i) não financiar nenhuma proposta de adjudicação de um contrato para obras, bens e serviços relacionados financiados pelo Banco;</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(ii) suspender os desembolsos da operação se for determinado, em qualquer etapa, que um empregado, agente ou representante do Mutuário, do Órgão Executor ou da Agência Contratante estiver envolvido em uma Prática Proibida;</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(iv) emitir advertência à empresa, entidade ou pessoa física com uma carta formal censurando sua conduta;</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(v) declarar que uma empresa, entidade ou pessoa física é inelegível, permanentemente ou por um período determinado, para: (i) adjudicação de contratos ou participação em atividades financiadas pelo Banco; e (ii) designação  como subconsultor, subempreiteiro ou fornecedor de bens ou serviços por outra empresa elegível a qual tenha sido adjudicado um contrato para executar atividades financiadas pelo Banco;</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(vi) encaminhar o assunto às autoridades competentes encarregadas de fazer cumprir a lei; e/ou;</w:t>
      </w:r>
    </w:p>
    <w:p>
      <w:pPr>
        <w:pStyle w:val="Normal1"/>
        <w:spacing w:lineRule="auto" w:line="240" w:before="0" w:after="120"/>
        <w:ind w:left="851" w:hanging="0"/>
        <w:jc w:val="both"/>
        <w:rPr>
          <w:color w:val="auto"/>
          <w:shd w:fill="auto" w:val="clear"/>
        </w:rPr>
      </w:pPr>
      <w:r>
        <w:rPr>
          <w:rFonts w:eastAsia="Verdana" w:cs="Verdana" w:ascii="Verdana" w:hAnsi="Verdana"/>
          <w:color w:val="000000"/>
          <w:sz w:val="18"/>
          <w:szCs w:val="18"/>
          <w:shd w:fill="auto" w:val="clear"/>
        </w:rPr>
        <w:t>(vii)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(d) A imposição de qualquer medida que seja tomada pelo Banco conforme as disposições anteriormente referidas será de caráter público.</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1.2 Os Concorrentes ao apresentar uma proposta declaram e garantem que:</w:t>
      </w:r>
    </w:p>
    <w:p>
      <w:pPr>
        <w:pStyle w:val="Normal1"/>
        <w:rPr>
          <w:color w:val="auto"/>
          <w:shd w:fill="auto" w:val="clear"/>
        </w:rPr>
      </w:pPr>
      <w:r>
        <w:rPr>
          <w:color w:val="000000"/>
          <w:shd w:fill="auto" w:val="clear"/>
        </w:rPr>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(i) leram e entenderam a proibição sobre atos de fraude e corrupção disposta pelo Banco e se obrigam a observar as normas pertinentes;</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(ii) não incorreram em nenhuma Prática Proibida descrita neste documento;</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(iii) não adulteraram nem ocultaram nenhum fato substancial durante os processos de seleção, negociação e execução do contrato;</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(vi) declararam todas as comissões, honorários de representantes ou pagamentos para participar de atividades financiadas pelo Banco; e</w:t>
      </w:r>
    </w:p>
    <w:p>
      <w:pPr>
        <w:pStyle w:val="Normal1"/>
        <w:spacing w:lineRule="auto" w:line="240" w:before="0" w:after="120"/>
        <w:jc w:val="both"/>
        <w:rPr>
          <w:color w:val="auto"/>
          <w:shd w:fill="auto" w:val="clear"/>
        </w:rPr>
      </w:pPr>
      <w:r>
        <w:rPr>
          <w:rFonts w:eastAsia="Verdana" w:cs="Verdana" w:ascii="Verdana" w:hAnsi="Verdana"/>
          <w:color w:val="000000"/>
          <w:sz w:val="18"/>
          <w:szCs w:val="18"/>
          <w:shd w:fill="auto" w:val="clear"/>
        </w:rPr>
        <w:t>(vii) reconhecem que o descumprimento de qualquer destas garantias constitui fundamento para a imposição pelo Banco de uma ou mais medidas descritas na Cláusula 1.1 (b).</w:t>
      </w:r>
    </w:p>
    <w:p>
      <w:pPr>
        <w:pStyle w:val="Normal1"/>
        <w:spacing w:lineRule="auto" w:line="240" w:before="0" w:after="240"/>
        <w:rPr>
          <w:color w:val="auto"/>
          <w:shd w:fill="auto" w:val="clear"/>
        </w:rPr>
      </w:pPr>
      <w:r>
        <w:rPr>
          <w:color w:val="000000"/>
          <w:shd w:fill="auto" w:val="clear"/>
        </w:rPr>
      </w:r>
    </w:p>
    <w:p>
      <w:pPr>
        <w:pStyle w:val="Normal1"/>
        <w:shd w:val="clear" w:fill="C0C0C0"/>
        <w:jc w:val="center"/>
        <w:rPr>
          <w:color w:val="auto"/>
          <w:shd w:fill="auto" w:val="clear"/>
        </w:rPr>
      </w:pPr>
      <w:r>
        <w:rPr>
          <w:rFonts w:eastAsia="Verdana" w:cs="Verdana" w:ascii="Verdana" w:hAnsi="Verdana"/>
          <w:b/>
          <w:color w:val="000000"/>
          <w:sz w:val="18"/>
          <w:szCs w:val="18"/>
          <w:shd w:fill="auto" w:val="clear"/>
        </w:rPr>
        <w:t>ADENDO II À ATA DE RP – PAÍSES ELEGÍVEIS</w:t>
      </w:r>
    </w:p>
    <w:p>
      <w:pPr>
        <w:pStyle w:val="Normal1"/>
        <w:spacing w:lineRule="auto" w:line="240" w:before="0" w:after="240"/>
        <w:rPr>
          <w:color w:val="auto"/>
          <w:shd w:fill="auto" w:val="clear"/>
        </w:rPr>
      </w:pPr>
      <w:r>
        <w:rPr>
          <w:color w:val="000000"/>
          <w:shd w:fill="auto" w:val="clear"/>
        </w:rPr>
        <w:br/>
      </w:r>
    </w:p>
    <w:p>
      <w:pPr>
        <w:pStyle w:val="Normal1"/>
        <w:jc w:val="center"/>
        <w:rPr>
          <w:color w:val="auto"/>
          <w:shd w:fill="auto" w:val="clear"/>
        </w:rPr>
      </w:pPr>
      <w:r>
        <w:rPr>
          <w:rFonts w:eastAsia="Verdana" w:cs="Verdana" w:ascii="Verdana" w:hAnsi="Verdana"/>
          <w:b/>
          <w:color w:val="000000"/>
          <w:sz w:val="18"/>
          <w:szCs w:val="18"/>
          <w:shd w:fill="auto" w:val="clear"/>
        </w:rPr>
        <w:t>Elegibilidade para Provisão de Bens, Obras e Serviços</w:t>
      </w:r>
    </w:p>
    <w:p>
      <w:pPr>
        <w:pStyle w:val="Normal1"/>
        <w:jc w:val="center"/>
        <w:rPr>
          <w:color w:val="auto"/>
          <w:shd w:fill="auto" w:val="clear"/>
        </w:rPr>
      </w:pPr>
      <w:r>
        <w:rPr>
          <w:rFonts w:eastAsia="Verdana" w:cs="Verdana" w:ascii="Verdana" w:hAnsi="Verdana"/>
          <w:b/>
          <w:color w:val="000000"/>
          <w:sz w:val="18"/>
          <w:szCs w:val="18"/>
          <w:shd w:fill="auto" w:val="clear"/>
        </w:rPr>
        <w:t>em Contratos Financiados pelo Banco</w:t>
      </w:r>
    </w:p>
    <w:p>
      <w:pPr>
        <w:pStyle w:val="Normal1"/>
        <w:spacing w:lineRule="auto" w:line="240" w:before="0" w:after="240"/>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 xml:space="preserve">Nota: </w:t>
      </w:r>
      <w:r>
        <w:rPr>
          <w:rFonts w:eastAsia="Verdana" w:cs="Verdana" w:ascii="Verdana" w:hAnsi="Verdana"/>
          <w:i/>
          <w:color w:val="000000"/>
          <w:sz w:val="18"/>
          <w:szCs w:val="18"/>
          <w:shd w:fill="auto" w:val="clear"/>
        </w:rPr>
        <w:t>O termo “Banco” usado neste documento inclui o BID, o Fumin e outros fundos administrados por ele.</w:t>
      </w:r>
    </w:p>
    <w:p>
      <w:pPr>
        <w:pStyle w:val="Normal1"/>
        <w:jc w:val="both"/>
        <w:rPr>
          <w:color w:val="auto"/>
          <w:shd w:fill="auto" w:val="clear"/>
        </w:rPr>
      </w:pPr>
      <w:r>
        <w:rPr>
          <w:rFonts w:eastAsia="Verdana" w:cs="Verdana" w:ascii="Verdana" w:hAnsi="Verdana"/>
          <w:color w:val="000000"/>
          <w:sz w:val="18"/>
          <w:szCs w:val="18"/>
          <w:shd w:fill="auto" w:val="clear"/>
        </w:rPr>
        <w:t>.......................................</w:t>
      </w:r>
    </w:p>
    <w:p>
      <w:pPr>
        <w:pStyle w:val="Normal1"/>
        <w:jc w:val="both"/>
        <w:rPr>
          <w:color w:val="auto"/>
          <w:shd w:fill="auto" w:val="clear"/>
        </w:rPr>
      </w:pPr>
      <w:r>
        <w:rPr>
          <w:rFonts w:eastAsia="Verdana" w:cs="Verdana" w:ascii="Verdana" w:hAnsi="Verdana"/>
          <w:color w:val="000000"/>
          <w:sz w:val="18"/>
          <w:szCs w:val="18"/>
          <w:shd w:fill="auto" w:val="clear"/>
        </w:rPr>
        <w:tab/>
      </w:r>
    </w:p>
    <w:p>
      <w:pPr>
        <w:pStyle w:val="Normal1"/>
        <w:rPr>
          <w:color w:val="auto"/>
          <w:shd w:fill="auto" w:val="clear"/>
        </w:rPr>
      </w:pPr>
      <w:r>
        <w:rPr>
          <w:color w:val="000000"/>
          <w:shd w:fill="auto" w:val="clear"/>
        </w:rPr>
      </w:r>
    </w:p>
    <w:p>
      <w:pPr>
        <w:pStyle w:val="Normal1"/>
        <w:spacing w:lineRule="auto" w:line="240" w:before="120" w:after="120"/>
        <w:jc w:val="both"/>
        <w:rPr>
          <w:color w:val="auto"/>
          <w:shd w:fill="auto" w:val="clear"/>
        </w:rPr>
      </w:pPr>
      <w:r>
        <w:rPr>
          <w:rFonts w:eastAsia="Verdana" w:cs="Verdana" w:ascii="Verdana" w:hAnsi="Verdana"/>
          <w:b/>
          <w:i/>
          <w:color w:val="000000"/>
          <w:sz w:val="18"/>
          <w:szCs w:val="18"/>
          <w:shd w:fill="auto" w:val="clear"/>
        </w:rPr>
        <w:t>1) Países Membros quando o financiamento provém do Banco Interamericano de Desenvolvimento</w:t>
      </w:r>
      <w:r>
        <w:rPr>
          <w:rFonts w:eastAsia="Verdana" w:cs="Verdana" w:ascii="Verdana" w:hAnsi="Verdana"/>
          <w:i/>
          <w:color w:val="000000"/>
          <w:sz w:val="18"/>
          <w:szCs w:val="18"/>
          <w:shd w:fill="auto" w:val="clear"/>
        </w:rPr>
        <w:t>.</w:t>
      </w:r>
    </w:p>
    <w:p>
      <w:pPr>
        <w:pStyle w:val="Normal1"/>
        <w:numPr>
          <w:ilvl w:val="0"/>
          <w:numId w:val="10"/>
        </w:numPr>
        <w:spacing w:lineRule="auto" w:line="240" w:before="120" w:after="120"/>
        <w:ind w:left="1980" w:hanging="0"/>
        <w:jc w:val="both"/>
        <w:rPr>
          <w:color w:val="auto"/>
          <w:shd w:fill="auto" w:val="clear"/>
        </w:rPr>
      </w:pPr>
      <w:r>
        <w:rPr>
          <w:rFonts w:eastAsia="Verdana" w:cs="Verdana" w:ascii="Verdana" w:hAnsi="Verdana"/>
          <w:b/>
          <w:i/>
          <w:color w:val="000000"/>
          <w:sz w:val="18"/>
          <w:szCs w:val="18"/>
          <w:shd w:fill="auto" w:val="clear"/>
        </w:rPr>
        <w:t>Países Mutuários:</w:t>
      </w:r>
    </w:p>
    <w:p>
      <w:pPr>
        <w:pStyle w:val="Normal1"/>
        <w:numPr>
          <w:ilvl w:val="1"/>
          <w:numId w:val="11"/>
        </w:numPr>
        <w:spacing w:lineRule="auto" w:line="240" w:before="120" w:after="120"/>
        <w:ind w:left="2520" w:hanging="0"/>
        <w:jc w:val="both"/>
        <w:rPr>
          <w:color w:val="auto"/>
          <w:shd w:fill="auto" w:val="clear"/>
        </w:rPr>
      </w:pPr>
      <w:r>
        <w:rPr>
          <w:rFonts w:eastAsia="Verdana" w:cs="Verdana" w:ascii="Verdana" w:hAnsi="Verdana"/>
          <w:i/>
          <w:color w:val="000000"/>
          <w:sz w:val="18"/>
          <w:szCs w:val="18"/>
          <w:shd w:fill="auto" w:val="clear"/>
        </w:rPr>
        <w:t>Argentina, Bahamas, Barbados, Belize, Bolívia, Brasil, Chile, Colômbia, Costa Rica, Equador, El Salvador, Guatemala, Guiana, Haiti, Honduras, Jamaica, México, Nicarágua, Panamá, Paraguai, Peru, República Dominicana, Suriname, Trinidad e Tobago, Uruguai e Venezuela.</w:t>
      </w:r>
    </w:p>
    <w:p>
      <w:pPr>
        <w:pStyle w:val="Normal1"/>
        <w:numPr>
          <w:ilvl w:val="0"/>
          <w:numId w:val="3"/>
        </w:numPr>
        <w:spacing w:lineRule="auto" w:line="240" w:before="120" w:after="120"/>
        <w:ind w:left="1980" w:hanging="0"/>
        <w:jc w:val="both"/>
        <w:rPr>
          <w:color w:val="auto"/>
          <w:shd w:fill="auto" w:val="clear"/>
        </w:rPr>
      </w:pPr>
      <w:r>
        <w:rPr>
          <w:rFonts w:eastAsia="Verdana" w:cs="Verdana" w:ascii="Verdana" w:hAnsi="Verdana"/>
          <w:b/>
          <w:i/>
          <w:color w:val="000000"/>
          <w:sz w:val="18"/>
          <w:szCs w:val="18"/>
          <w:shd w:fill="auto" w:val="clear"/>
        </w:rPr>
        <w:t>Países não Mutuários:</w:t>
      </w:r>
    </w:p>
    <w:p>
      <w:pPr>
        <w:pStyle w:val="Normal1"/>
        <w:numPr>
          <w:ilvl w:val="1"/>
          <w:numId w:val="12"/>
        </w:numPr>
        <w:spacing w:lineRule="auto" w:line="240" w:before="120" w:after="120"/>
        <w:ind w:left="2520" w:hanging="0"/>
        <w:jc w:val="both"/>
        <w:rPr>
          <w:color w:val="auto"/>
          <w:shd w:fill="auto" w:val="clear"/>
        </w:rPr>
      </w:pPr>
      <w:r>
        <w:rPr>
          <w:rFonts w:eastAsia="Verdana" w:cs="Verdana" w:ascii="Verdana" w:hAnsi="Verdana"/>
          <w:i/>
          <w:color w:val="000000"/>
          <w:sz w:val="18"/>
          <w:szCs w:val="18"/>
          <w:shd w:fill="auto" w:val="clear"/>
        </w:rPr>
        <w:t>Alemanha, Áustria, Bélgica, Canadá, República Popular da China, República da Coréia, Croácia, Dinamarca, Eslovênia, Espanha, Estados Unidos, Finlândia, França, Israel, Itália, Japão, Noruega, Países Baixos, Portugal, Reino Unido, Suécia e Suíça.</w:t>
      </w:r>
    </w:p>
    <w:p>
      <w:pPr>
        <w:pStyle w:val="Normal1"/>
        <w:ind w:firstLine="1620"/>
        <w:jc w:val="both"/>
        <w:rPr>
          <w:color w:val="auto"/>
          <w:shd w:fill="auto" w:val="clear"/>
        </w:rPr>
      </w:pPr>
      <w:r>
        <w:rPr>
          <w:rFonts w:eastAsia="Verdana" w:cs="Verdana" w:ascii="Verdana" w:hAnsi="Verdana"/>
          <w:color w:val="000000"/>
          <w:sz w:val="18"/>
          <w:szCs w:val="18"/>
          <w:shd w:fill="auto" w:val="clear"/>
        </w:rPr>
        <w:t xml:space="preserve">c) </w:t>
      </w:r>
      <w:r>
        <w:rPr>
          <w:rFonts w:eastAsia="Verdana" w:cs="Verdana" w:ascii="Verdana" w:hAnsi="Verdana"/>
          <w:b/>
          <w:i/>
          <w:color w:val="000000"/>
          <w:sz w:val="18"/>
          <w:szCs w:val="18"/>
          <w:shd w:fill="auto" w:val="clear"/>
        </w:rPr>
        <w:t>Territórios elegíveis:</w:t>
      </w:r>
    </w:p>
    <w:p>
      <w:pPr>
        <w:pStyle w:val="Normal1"/>
        <w:numPr>
          <w:ilvl w:val="0"/>
          <w:numId w:val="6"/>
        </w:numPr>
        <w:shd w:val="clear" w:fill="FFFFFF"/>
        <w:ind w:left="0" w:hanging="0"/>
        <w:jc w:val="both"/>
        <w:rPr>
          <w:color w:val="auto"/>
          <w:shd w:fill="auto" w:val="clear"/>
        </w:rPr>
      </w:pPr>
      <w:r>
        <w:rPr>
          <w:rFonts w:eastAsia="Verdana" w:cs="Verdana" w:ascii="Verdana" w:hAnsi="Verdana"/>
          <w:i/>
          <w:color w:val="000000"/>
          <w:sz w:val="18"/>
          <w:szCs w:val="18"/>
          <w:shd w:fill="auto" w:val="clear"/>
        </w:rPr>
        <w:t>Guadalupe, Guiana Francesa, Martinica, Reunião - como Estado da França</w:t>
      </w:r>
    </w:p>
    <w:p>
      <w:pPr>
        <w:pStyle w:val="Normal1"/>
        <w:numPr>
          <w:ilvl w:val="0"/>
          <w:numId w:val="4"/>
        </w:numPr>
        <w:shd w:val="clear" w:fill="FFFFFF"/>
        <w:ind w:left="0" w:hanging="0"/>
        <w:jc w:val="both"/>
        <w:rPr>
          <w:color w:val="auto"/>
          <w:shd w:fill="auto" w:val="clear"/>
        </w:rPr>
      </w:pPr>
      <w:r>
        <w:rPr>
          <w:rFonts w:eastAsia="Verdana" w:cs="Verdana" w:ascii="Verdana" w:hAnsi="Verdana"/>
          <w:i/>
          <w:color w:val="000000"/>
          <w:sz w:val="18"/>
          <w:szCs w:val="18"/>
          <w:shd w:fill="auto" w:val="clear"/>
        </w:rPr>
        <w:t>Ilhas Virgens dos EUA, Porto Rico, Guam - como Território dos EUA</w:t>
      </w:r>
    </w:p>
    <w:p>
      <w:pPr>
        <w:pStyle w:val="Normal1"/>
        <w:numPr>
          <w:ilvl w:val="0"/>
          <w:numId w:val="7"/>
        </w:numPr>
        <w:shd w:val="clear" w:fill="FFFFFF"/>
        <w:ind w:left="0" w:hanging="0"/>
        <w:jc w:val="both"/>
        <w:rPr>
          <w:color w:val="auto"/>
          <w:shd w:fill="auto" w:val="clear"/>
        </w:rPr>
      </w:pPr>
      <w:r>
        <w:rPr>
          <w:rFonts w:eastAsia="Verdana" w:cs="Verdana" w:ascii="Verdana" w:hAnsi="Verdana"/>
          <w:i/>
          <w:color w:val="000000"/>
          <w:sz w:val="18"/>
          <w:szCs w:val="18"/>
          <w:shd w:fill="auto" w:val="clear"/>
        </w:rPr>
        <w:t>Aruba - como um país integrante do Reino dos Países Baixos, assim como, Bonaire, Curaçao, Santa Marta, Saba, Santo Eustáquio - como Estados</w:t>
      </w:r>
      <w:r>
        <w:rPr>
          <w:rFonts w:eastAsia="Verdana" w:cs="Verdana" w:ascii="Verdana" w:hAnsi="Verdana"/>
          <w:i/>
          <w:color w:val="000000"/>
          <w:sz w:val="18"/>
          <w:szCs w:val="18"/>
          <w:shd w:fill="auto" w:val="clear"/>
        </w:rPr>
        <w:t xml:space="preserve"> </w:t>
      </w:r>
      <w:r>
        <w:rPr>
          <w:rFonts w:eastAsia="Verdana" w:cs="Verdana" w:ascii="Verdana" w:hAnsi="Verdana"/>
          <w:i/>
          <w:color w:val="000000"/>
          <w:sz w:val="18"/>
          <w:szCs w:val="18"/>
          <w:shd w:fill="auto" w:val="clear"/>
        </w:rPr>
        <w:t>do Reino dos Países Baixos</w:t>
      </w:r>
    </w:p>
    <w:p>
      <w:pPr>
        <w:pStyle w:val="Normal1"/>
        <w:numPr>
          <w:ilvl w:val="0"/>
          <w:numId w:val="1"/>
        </w:numPr>
        <w:shd w:val="clear" w:fill="FFFFFF"/>
        <w:ind w:left="0" w:hanging="0"/>
        <w:jc w:val="both"/>
        <w:rPr>
          <w:color w:val="auto"/>
          <w:shd w:fill="auto" w:val="clear"/>
        </w:rPr>
      </w:pPr>
      <w:r>
        <w:rPr>
          <w:rFonts w:eastAsia="Verdana" w:cs="Verdana" w:ascii="Verdana" w:hAnsi="Verdana"/>
          <w:i/>
          <w:color w:val="000000"/>
          <w:sz w:val="18"/>
          <w:szCs w:val="18"/>
          <w:shd w:fill="auto" w:val="clear"/>
        </w:rPr>
        <w:t>Hong Kong - Região Administrativa Especial da República Popular da China.</w:t>
      </w:r>
    </w:p>
    <w:p>
      <w:pPr>
        <w:pStyle w:val="Normal1"/>
        <w:rPr>
          <w:color w:val="auto"/>
          <w:sz w:val="24"/>
          <w:szCs w:val="24"/>
          <w:shd w:fill="auto" w:val="clear"/>
        </w:rPr>
      </w:pPr>
      <w:r>
        <w:rPr>
          <w:color w:val="000000"/>
          <w:sz w:val="24"/>
          <w:szCs w:val="24"/>
          <w:shd w:fill="auto" w:val="clear"/>
        </w:rPr>
      </w:r>
    </w:p>
    <w:p>
      <w:pPr>
        <w:pStyle w:val="Normal1"/>
        <w:jc w:val="both"/>
        <w:rPr>
          <w:color w:val="auto"/>
          <w:shd w:fill="auto" w:val="clear"/>
        </w:rPr>
      </w:pPr>
      <w:r>
        <w:rPr>
          <w:rFonts w:eastAsia="Verdana" w:cs="Verdana" w:ascii="Verdana" w:hAnsi="Verdana"/>
          <w:i/>
          <w:color w:val="000000"/>
          <w:sz w:val="18"/>
          <w:szCs w:val="18"/>
          <w:shd w:fill="auto" w:val="clear"/>
        </w:rPr>
        <w:t>--------------------------------------</w:t>
      </w:r>
    </w:p>
    <w:p>
      <w:pPr>
        <w:pStyle w:val="Normal1"/>
        <w:spacing w:lineRule="auto" w:line="240" w:before="0" w:after="240"/>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b/>
          <w:color w:val="000000"/>
          <w:sz w:val="18"/>
          <w:szCs w:val="18"/>
          <w:shd w:fill="auto" w:val="clear"/>
        </w:rPr>
        <w:t>2) Critérios para determinar a nacionalidade e origem dos bens e serviços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p>
    <w:p>
      <w:pPr>
        <w:pStyle w:val="Normal1"/>
        <w:rPr>
          <w:color w:val="auto"/>
          <w:shd w:fill="auto" w:val="clear"/>
        </w:rPr>
      </w:pPr>
      <w:r>
        <w:rPr>
          <w:color w:val="000000"/>
          <w:shd w:fill="auto" w:val="clear"/>
        </w:rPr>
      </w:r>
    </w:p>
    <w:p>
      <w:pPr>
        <w:pStyle w:val="Ttulo6"/>
        <w:rPr>
          <w:color w:val="auto"/>
          <w:shd w:fill="auto" w:val="clear"/>
        </w:rPr>
      </w:pPr>
      <w:bookmarkStart w:id="4" w:name="_heading=h.jyup5echlk0x"/>
      <w:bookmarkEnd w:id="4"/>
      <w:r>
        <w:rPr>
          <w:rFonts w:eastAsia="Verdana" w:cs="Verdana" w:ascii="Verdana" w:hAnsi="Verdana"/>
          <w:color w:val="000000"/>
          <w:sz w:val="18"/>
          <w:szCs w:val="18"/>
          <w:shd w:fill="auto" w:val="clear"/>
        </w:rPr>
        <w:t>A) Nacionalidade</w:t>
      </w:r>
    </w:p>
    <w:p>
      <w:pPr>
        <w:pStyle w:val="Normal1"/>
        <w:rPr>
          <w:color w:val="auto"/>
          <w:shd w:fill="auto" w:val="clear"/>
        </w:rPr>
      </w:pPr>
      <w:r>
        <w:rPr>
          <w:color w:val="000000"/>
          <w:shd w:fill="auto" w:val="clear"/>
        </w:rPr>
      </w:r>
    </w:p>
    <w:p>
      <w:pPr>
        <w:pStyle w:val="Normal1"/>
        <w:spacing w:lineRule="auto" w:line="240" w:before="120" w:after="120"/>
        <w:ind w:left="360" w:hanging="0"/>
        <w:jc w:val="both"/>
        <w:rPr>
          <w:color w:val="auto"/>
          <w:shd w:fill="auto" w:val="clear"/>
        </w:rPr>
      </w:pPr>
      <w:r>
        <w:rPr>
          <w:rFonts w:eastAsia="Verdana" w:cs="Verdana" w:ascii="Verdana" w:hAnsi="Verdana"/>
          <w:color w:val="000000"/>
          <w:sz w:val="18"/>
          <w:szCs w:val="18"/>
          <w:shd w:fill="auto" w:val="clear"/>
        </w:rPr>
        <w:t>a)</w:t>
      </w:r>
      <w:r>
        <w:rPr>
          <w:rFonts w:eastAsia="Verdana" w:cs="Verdana" w:ascii="Verdana" w:hAnsi="Verdana"/>
          <w:b/>
          <w:color w:val="000000"/>
          <w:sz w:val="18"/>
          <w:szCs w:val="18"/>
          <w:shd w:fill="auto" w:val="clear"/>
        </w:rPr>
        <w:t xml:space="preserve"> Um indivíduo é considerado nacional</w:t>
      </w:r>
      <w:r>
        <w:rPr>
          <w:rFonts w:eastAsia="Verdana" w:cs="Verdana" w:ascii="Verdana" w:hAnsi="Verdana"/>
          <w:color w:val="000000"/>
          <w:sz w:val="18"/>
          <w:szCs w:val="18"/>
          <w:shd w:fill="auto" w:val="clear"/>
        </w:rPr>
        <w:t xml:space="preserve"> de um país membro do Banco se satisfaz um dos seguintes requisitos:</w:t>
      </w:r>
    </w:p>
    <w:p>
      <w:pPr>
        <w:pStyle w:val="Normal1"/>
        <w:numPr>
          <w:ilvl w:val="0"/>
          <w:numId w:val="8"/>
        </w:numPr>
        <w:spacing w:lineRule="auto" w:line="240" w:before="120" w:after="120"/>
        <w:ind w:left="0" w:hanging="0"/>
        <w:jc w:val="both"/>
        <w:rPr>
          <w:color w:val="auto"/>
          <w:shd w:fill="auto" w:val="clear"/>
        </w:rPr>
      </w:pPr>
      <w:r>
        <w:rPr>
          <w:rFonts w:eastAsia="Verdana" w:cs="Verdana" w:ascii="Verdana" w:hAnsi="Verdana"/>
          <w:color w:val="000000"/>
          <w:sz w:val="18"/>
          <w:szCs w:val="18"/>
          <w:shd w:fill="auto" w:val="clear"/>
        </w:rPr>
        <w:t>é cidadão de um país membro; ou</w:t>
      </w:r>
    </w:p>
    <w:p>
      <w:pPr>
        <w:pStyle w:val="Normal1"/>
        <w:numPr>
          <w:ilvl w:val="0"/>
          <w:numId w:val="2"/>
        </w:numPr>
        <w:spacing w:lineRule="auto" w:line="240" w:before="120" w:after="120"/>
        <w:ind w:left="0" w:hanging="0"/>
        <w:jc w:val="both"/>
        <w:rPr>
          <w:color w:val="auto"/>
          <w:shd w:fill="auto" w:val="clear"/>
        </w:rPr>
      </w:pPr>
      <w:r>
        <w:rPr>
          <w:rFonts w:eastAsia="Verdana" w:cs="Verdana" w:ascii="Verdana" w:hAnsi="Verdana"/>
          <w:color w:val="000000"/>
          <w:sz w:val="18"/>
          <w:szCs w:val="18"/>
          <w:shd w:fill="auto" w:val="clear"/>
        </w:rPr>
        <w:t>estabeleceu seu domicílio em um país membro como residente de boa fé e está legalmente autorizado para trabalhar nesse país.</w:t>
      </w:r>
    </w:p>
    <w:p>
      <w:pPr>
        <w:pStyle w:val="Normal1"/>
        <w:spacing w:lineRule="auto" w:line="240" w:before="120" w:after="120"/>
        <w:ind w:left="360" w:hanging="0"/>
        <w:jc w:val="both"/>
        <w:rPr>
          <w:color w:val="auto"/>
          <w:shd w:fill="auto" w:val="clear"/>
        </w:rPr>
      </w:pPr>
      <w:r>
        <w:rPr>
          <w:rFonts w:eastAsia="Verdana" w:cs="Verdana" w:ascii="Verdana" w:hAnsi="Verdana"/>
          <w:color w:val="000000"/>
          <w:sz w:val="18"/>
          <w:szCs w:val="18"/>
          <w:shd w:fill="auto" w:val="clear"/>
        </w:rPr>
        <w:t>b)</w:t>
      </w:r>
      <w:r>
        <w:rPr>
          <w:rFonts w:eastAsia="Verdana" w:cs="Verdana" w:ascii="Verdana" w:hAnsi="Verdana"/>
          <w:b/>
          <w:color w:val="000000"/>
          <w:sz w:val="18"/>
          <w:szCs w:val="18"/>
          <w:shd w:fill="auto" w:val="clear"/>
        </w:rPr>
        <w:t xml:space="preserve"> Uma firma é</w:t>
      </w:r>
      <w:r>
        <w:rPr>
          <w:rFonts w:eastAsia="Verdana" w:cs="Verdana" w:ascii="Verdana" w:hAnsi="Verdana"/>
          <w:color w:val="000000"/>
          <w:sz w:val="18"/>
          <w:szCs w:val="18"/>
          <w:shd w:fill="auto" w:val="clear"/>
        </w:rPr>
        <w:t xml:space="preserve"> </w:t>
      </w:r>
      <w:r>
        <w:rPr>
          <w:rFonts w:eastAsia="Verdana" w:cs="Verdana" w:ascii="Verdana" w:hAnsi="Verdana"/>
          <w:b/>
          <w:color w:val="000000"/>
          <w:sz w:val="18"/>
          <w:szCs w:val="18"/>
          <w:shd w:fill="auto" w:val="clear"/>
        </w:rPr>
        <w:t>considerada nacional</w:t>
      </w:r>
      <w:r>
        <w:rPr>
          <w:rFonts w:eastAsia="Verdana" w:cs="Verdana" w:ascii="Verdana" w:hAnsi="Verdana"/>
          <w:color w:val="000000"/>
          <w:sz w:val="18"/>
          <w:szCs w:val="18"/>
          <w:shd w:fill="auto" w:val="clear"/>
        </w:rPr>
        <w:t xml:space="preserve"> de um país membro se satisfaz os dois seguintes requisitos:</w:t>
      </w:r>
    </w:p>
    <w:p>
      <w:pPr>
        <w:pStyle w:val="Normal1"/>
        <w:numPr>
          <w:ilvl w:val="0"/>
          <w:numId w:val="5"/>
        </w:numPr>
        <w:spacing w:lineRule="auto" w:line="240" w:before="120" w:after="120"/>
        <w:ind w:left="0" w:hanging="0"/>
        <w:jc w:val="both"/>
        <w:rPr>
          <w:color w:val="auto"/>
          <w:shd w:fill="auto" w:val="clear"/>
        </w:rPr>
      </w:pPr>
      <w:r>
        <w:rPr>
          <w:rFonts w:eastAsia="Verdana" w:cs="Verdana" w:ascii="Verdana" w:hAnsi="Verdana"/>
          <w:color w:val="000000"/>
          <w:sz w:val="18"/>
          <w:szCs w:val="18"/>
          <w:shd w:fill="auto" w:val="clear"/>
        </w:rPr>
        <w:t>está legalmente constituída ou estabelecida conforme as leis de um país membro do Banco; e</w:t>
      </w:r>
    </w:p>
    <w:p>
      <w:pPr>
        <w:pStyle w:val="Normal1"/>
        <w:numPr>
          <w:ilvl w:val="0"/>
          <w:numId w:val="9"/>
        </w:numPr>
        <w:spacing w:lineRule="auto" w:line="240" w:before="120" w:after="120"/>
        <w:ind w:left="0" w:hanging="0"/>
        <w:jc w:val="both"/>
        <w:rPr>
          <w:color w:val="auto"/>
          <w:shd w:fill="auto" w:val="clear"/>
        </w:rPr>
      </w:pPr>
      <w:r>
        <w:rPr>
          <w:rFonts w:eastAsia="Verdana" w:cs="Verdana" w:ascii="Verdana" w:hAnsi="Verdana"/>
          <w:color w:val="000000"/>
          <w:sz w:val="18"/>
          <w:szCs w:val="18"/>
          <w:shd w:fill="auto" w:val="clear"/>
        </w:rPr>
        <w:t>mais de cinqüenta por cento (50%) do capital da firma é de propriedade de indivíduos ou firmas de países membros do Banco.</w:t>
      </w:r>
    </w:p>
    <w:p>
      <w:pPr>
        <w:pStyle w:val="Normal1"/>
        <w:rPr>
          <w:color w:val="auto"/>
          <w:sz w:val="24"/>
          <w:szCs w:val="24"/>
          <w:shd w:fill="auto" w:val="clear"/>
        </w:rPr>
      </w:pPr>
      <w:r>
        <w:rPr>
          <w:color w:val="000000"/>
          <w:sz w:val="24"/>
          <w:szCs w:val="24"/>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Todos os membros de um consórcio e todos os subempreiteiros devem cumprir os requisitos acima estabelecidos.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b/>
          <w:color w:val="000000"/>
          <w:sz w:val="18"/>
          <w:szCs w:val="18"/>
          <w:u w:val="single"/>
          <w:shd w:fill="auto" w:val="clear"/>
        </w:rPr>
        <w:t>B) Origem dos Bens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Para fins de determinação da origem dos bens identificados como “feito na União Europeia”, estes serão elegíveis sem necessidade de identificar o correspondente país específico da União Europeia.</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A origem dos materiais, partes ou componentes dos bens ou a nacionalidade da empresa produtora, montadora, distribuidora ou vendedora dos bens não determina a origem dos mesmos.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b/>
          <w:color w:val="000000"/>
          <w:sz w:val="18"/>
          <w:szCs w:val="18"/>
          <w:u w:val="single"/>
          <w:shd w:fill="auto" w:val="clear"/>
        </w:rPr>
        <w:t>C) Origem dos Serviços</w:t>
      </w:r>
    </w:p>
    <w:p>
      <w:pPr>
        <w:pStyle w:val="Normal1"/>
        <w:rPr>
          <w:color w:val="auto"/>
          <w:shd w:fill="auto" w:val="clear"/>
        </w:rPr>
      </w:pPr>
      <w:r>
        <w:rPr>
          <w:color w:val="000000"/>
          <w:shd w:fill="auto" w:val="clear"/>
        </w:rPr>
      </w:r>
    </w:p>
    <w:p>
      <w:pPr>
        <w:pStyle w:val="Normal1"/>
        <w:jc w:val="both"/>
        <w:rPr>
          <w:color w:val="auto"/>
          <w:shd w:fill="auto" w:val="clear"/>
        </w:rPr>
      </w:pPr>
      <w:r>
        <w:rPr>
          <w:rFonts w:eastAsia="Verdana" w:cs="Verdana" w:ascii="Verdana" w:hAnsi="Verdana"/>
          <w:color w:val="000000"/>
          <w:sz w:val="18"/>
          <w:szCs w:val="18"/>
          <w:shd w:fill="auto" w:val="clear"/>
        </w:rPr>
        <w:t>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p>
    <w:p>
      <w:pPr>
        <w:pStyle w:val="Normal1"/>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rPr>
          <w:rFonts w:ascii="Verdana" w:hAnsi="Verdana" w:eastAsia="Verdana" w:cs="Verdana"/>
          <w:color w:val="auto"/>
          <w:sz w:val="18"/>
          <w:szCs w:val="18"/>
          <w:shd w:fill="auto" w:val="clear"/>
        </w:rPr>
      </w:pPr>
      <w:r>
        <w:rPr>
          <w:rFonts w:eastAsia="Verdana" w:cs="Verdana" w:ascii="Verdana" w:hAnsi="Verdana"/>
          <w:color w:val="000000"/>
          <w:sz w:val="18"/>
          <w:szCs w:val="18"/>
          <w:shd w:fill="auto" w:val="clear"/>
        </w:rPr>
      </w:r>
    </w:p>
    <w:p>
      <w:pPr>
        <w:pStyle w:val="Normal1"/>
        <w:jc w:val="both"/>
        <w:rPr>
          <w:color w:val="auto"/>
          <w:shd w:fill="auto" w:val="clear"/>
        </w:rPr>
      </w:pPr>
      <w:r>
        <w:rPr>
          <w:color w:val="000000"/>
          <w:shd w:fill="auto" w:val="clear"/>
        </w:rPr>
      </w:r>
    </w:p>
    <w:sectPr>
      <w:headerReference w:type="default" r:id="rId14"/>
      <w:footerReference w:type="default" r:id="rId15"/>
      <w:footnotePr>
        <w:numFmt w:val="decimal"/>
      </w:footnotePr>
      <w:type w:val="nextPage"/>
      <w:pgSz w:w="11906" w:h="16838"/>
      <w:pgMar w:left="1455" w:right="1132" w:header="170" w:top="1836" w:footer="907" w:bottom="1383"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Black">
    <w:charset w:val="00"/>
    <w:family w:val="roman"/>
    <w:pitch w:val="variable"/>
  </w:font>
  <w:font w:name="Arial">
    <w:charset w:val="00"/>
    <w:family w:val="roman"/>
    <w:pitch w:val="variable"/>
  </w:font>
  <w:font w:name="Liberation Sans">
    <w:altName w:val="Arial"/>
    <w:charset w:val="00"/>
    <w:family w:val="swiss"/>
    <w:pitch w:val="variable"/>
  </w:font>
  <w:font w:name="MS Mincho">
    <w:charset w:val="00"/>
    <w:family w:val="roman"/>
    <w:pitch w:val="variable"/>
  </w:font>
  <w:font w:name="Verdana">
    <w:charset w:val="00"/>
    <w:family w:val="roman"/>
    <w:pitch w:val="variable"/>
  </w:font>
  <w:font w:name="Arial Unicode MS">
    <w:charset w:val="00"/>
    <w:family w:val="roman"/>
    <w:pitch w:val="variable"/>
  </w:font>
  <w:font w:name="Calibri">
    <w:charset w:val="00"/>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pBdr/>
      <w:tabs>
        <w:tab w:val="clear" w:pos="720"/>
        <w:tab w:val="center" w:pos="4818" w:leader="none"/>
        <w:tab w:val="right" w:pos="9637" w:leader="none"/>
      </w:tabs>
      <w:jc w:val="center"/>
      <w:rPr>
        <w:color w:val="000000"/>
        <w:sz w:val="36"/>
        <w:szCs w:val="36"/>
      </w:rPr>
    </w:pPr>
    <w:r>
      <w:rPr>
        <w:rFonts w:eastAsia="Verdana" w:cs="Verdana" w:ascii="Verdana" w:hAnsi="Verdana"/>
        <w:color w:val="000000"/>
        <w:sz w:val="18"/>
        <w:szCs w:val="18"/>
      </w:rPr>
      <w:t xml:space="preserve">Página </w:t>
    </w:r>
    <w:r>
      <w:rPr/>
      <w:fldChar w:fldCharType="begin"/>
    </w:r>
    <w:r>
      <w:rPr/>
      <w:instrText> PAGE </w:instrText>
    </w:r>
    <w:r>
      <w:rPr/>
      <w:fldChar w:fldCharType="separate"/>
    </w:r>
    <w:r>
      <w:rPr/>
      <w:t>1</w:t>
    </w:r>
    <w:r>
      <w:rPr/>
      <w:fldChar w:fldCharType="end"/>
    </w:r>
    <w:r>
      <w:rPr>
        <w:rFonts w:eastAsia="Verdana" w:cs="Verdana" w:ascii="Verdana" w:hAnsi="Verdana"/>
        <w:color w:val="000000"/>
        <w:sz w:val="18"/>
        <w:szCs w:val="18"/>
      </w:rPr>
      <w:t xml:space="preserve"> de </w:t>
    </w:r>
    <w:r>
      <w:rPr/>
      <w:fldChar w:fldCharType="begin"/>
    </w:r>
    <w:r>
      <w:rPr/>
      <w:instrText> NUMPAGES </w:instrText>
    </w:r>
    <w:r>
      <w:rPr/>
      <w:fldChar w:fldCharType="separate"/>
    </w:r>
    <w:r>
      <w:rPr/>
      <w:t>30</w:t>
    </w:r>
    <w:r>
      <w:rPr/>
      <w:fldChar w:fldCharType="end"/>
    </w:r>
  </w:p>
  <w:p>
    <w:pPr>
      <w:pStyle w:val="Normal1"/>
      <w:tabs>
        <w:tab w:val="clear" w:pos="720"/>
        <w:tab w:val="left" w:pos="709" w:leader="none"/>
      </w:tabs>
      <w:jc w:val="both"/>
      <w:rPr>
        <w:rFonts w:ascii="Verdana" w:hAnsi="Verdana" w:eastAsia="Verdana" w:cs="Verdana"/>
        <w:b/>
        <w:b/>
        <w:sz w:val="18"/>
        <w:szCs w:val="18"/>
      </w:rPr>
    </w:pPr>
    <w:r>
      <w:rPr>
        <w:rFonts w:eastAsia="Verdana" w:cs="Verdana" w:ascii="Verdana" w:hAnsi="Verdana"/>
        <w:b/>
        <w:sz w:val="18"/>
        <w:szCs w:val="18"/>
      </w:rPr>
    </w:r>
  </w:p>
  <w:p>
    <w:pPr>
      <w:pStyle w:val="Normal1"/>
      <w:pBdr/>
      <w:tabs>
        <w:tab w:val="clear" w:pos="720"/>
        <w:tab w:val="center" w:pos="4818" w:leader="none"/>
        <w:tab w:val="right" w:pos="9637" w:leader="none"/>
      </w:tabs>
      <w:rPr>
        <w:rFonts w:ascii="Verdana" w:hAnsi="Verdana" w:eastAsia="Verdana" w:cs="Verdana"/>
        <w:b/>
        <w:b/>
        <w:sz w:val="18"/>
        <w:szCs w:val="18"/>
      </w:rPr>
    </w:pPr>
    <w:r>
      <w:rPr>
        <w:rFonts w:eastAsia="Verdana" w:cs="Verdana" w:ascii="Verdana" w:hAnsi="Verdana"/>
        <w:b/>
        <w:sz w:val="18"/>
        <w:szCs w:val="18"/>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p>
  </w:footnote>
  <w:footnote w:id="1" w:type="continuationSeparator">
    <w:p>
      <w:pPr>
        <w:rPr>
          <w:sz w:val="12"/>
        </w:rPr>
      </w:pPr>
      <w:r/>
    </w:p>
  </w:footnote>
  <w:footnote w:id="2">
    <w:p>
      <w:pPr>
        <w:pStyle w:val="Normal1"/>
        <w:pBdr/>
        <w:spacing w:lineRule="auto" w:line="240" w:before="100" w:after="100"/>
        <w:rPr/>
      </w:pPr>
      <w:r>
        <w:rPr>
          <w:rStyle w:val="Caracteresdenotaderodap"/>
        </w:rPr>
        <w:footnoteRef/>
      </w:r>
      <w:r>
        <w:rPr/>
      </w:r>
    </w:p>
    <w:p>
      <w:pPr>
        <w:pStyle w:val="Normal1"/>
        <w:pBdr/>
        <w:spacing w:lineRule="auto" w:line="240" w:before="100" w:after="100"/>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widowControl w:val="false"/>
      <w:pBdr/>
      <w:spacing w:lineRule="auto" w:line="276"/>
      <w:rPr>
        <w:color w:val="000000"/>
      </w:rPr>
    </w:pPr>
    <w:r>
      <w:rPr>
        <w:color w:val="000000"/>
      </w:rPr>
    </w:r>
  </w:p>
  <w:tbl>
    <w:tblPr>
      <w:tblStyle w:val="Table3"/>
      <w:tblW w:w="9517" w:type="dxa"/>
      <w:jc w:val="left"/>
      <w:tblInd w:w="0" w:type="dxa"/>
      <w:tblLayout w:type="fixed"/>
      <w:tblCellMar>
        <w:top w:w="0" w:type="dxa"/>
        <w:left w:w="108" w:type="dxa"/>
        <w:bottom w:w="0" w:type="dxa"/>
        <w:right w:w="108" w:type="dxa"/>
      </w:tblCellMar>
      <w:tblLook w:val="0000"/>
    </w:tblPr>
    <w:tblGrid>
      <w:gridCol w:w="1249"/>
      <w:gridCol w:w="8267"/>
    </w:tblGrid>
    <w:tr>
      <w:trPr>
        <w:trHeight w:val="1495" w:hRule="atLeast"/>
      </w:trPr>
      <w:tc>
        <w:tcPr>
          <w:tcW w:w="1249" w:type="dxa"/>
          <w:tcBorders/>
        </w:tcPr>
        <w:p>
          <w:pPr>
            <w:pStyle w:val="Normal1"/>
            <w:widowControl w:val="false"/>
            <w:pBdr/>
            <w:rPr>
              <w:rFonts w:ascii="Verdana" w:hAnsi="Verdana" w:eastAsia="Verdana" w:cs="Verdana"/>
              <w:color w:val="000000"/>
              <w:sz w:val="18"/>
              <w:szCs w:val="18"/>
            </w:rPr>
          </w:pPr>
          <w:r>
            <w:rPr>
              <w:rFonts w:eastAsia="Verdana" w:cs="Verdana" w:ascii="Verdana" w:hAnsi="Verdana"/>
              <w:color w:val="000000"/>
              <w:sz w:val="18"/>
              <w:szCs w:val="18"/>
            </w:rPr>
          </w:r>
        </w:p>
        <w:p>
          <w:pPr>
            <w:pStyle w:val="Normal1"/>
            <w:widowControl w:val="false"/>
            <w:rPr>
              <w:rFonts w:ascii="Verdana" w:hAnsi="Verdana" w:eastAsia="Verdana" w:cs="Verdana"/>
              <w:sz w:val="18"/>
              <w:szCs w:val="18"/>
            </w:rPr>
          </w:pPr>
          <w:r>
            <w:rPr/>
            <w:drawing>
              <wp:inline distT="0" distB="0" distL="0" distR="0">
                <wp:extent cx="619125" cy="61912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rcRect l="-5246" t="-4758" r="0" b="0"/>
                        <a:stretch>
                          <a:fillRect/>
                        </a:stretch>
                      </pic:blipFill>
                      <pic:spPr bwMode="auto">
                        <a:xfrm>
                          <a:off x="0" y="0"/>
                          <a:ext cx="619125" cy="619125"/>
                        </a:xfrm>
                        <a:prstGeom prst="rect">
                          <a:avLst/>
                        </a:prstGeom>
                      </pic:spPr>
                    </pic:pic>
                  </a:graphicData>
                </a:graphic>
              </wp:inline>
            </w:drawing>
          </w:r>
        </w:p>
        <w:p>
          <w:pPr>
            <w:pStyle w:val="Normal1"/>
            <w:widowControl w:val="false"/>
            <w:pBdr/>
            <w:rPr>
              <w:rFonts w:ascii="Verdana" w:hAnsi="Verdana" w:eastAsia="Verdana" w:cs="Verdana"/>
              <w:color w:val="000000"/>
              <w:sz w:val="18"/>
              <w:szCs w:val="18"/>
            </w:rPr>
          </w:pPr>
          <w:r>
            <w:rPr>
              <w:rFonts w:eastAsia="Verdana" w:cs="Verdana" w:ascii="Verdana" w:hAnsi="Verdana"/>
              <w:color w:val="000000"/>
              <w:sz w:val="18"/>
              <w:szCs w:val="18"/>
            </w:rPr>
          </w:r>
        </w:p>
      </w:tc>
      <w:tc>
        <w:tcPr>
          <w:tcW w:w="8267" w:type="dxa"/>
          <w:tcBorders/>
        </w:tcPr>
        <w:p>
          <w:pPr>
            <w:pStyle w:val="Normal1"/>
            <w:widowControl w:val="false"/>
            <w:pBdr/>
            <w:rPr>
              <w:rFonts w:ascii="Verdana" w:hAnsi="Verdana" w:eastAsia="Verdana" w:cs="Verdana"/>
              <w:color w:val="000000"/>
              <w:sz w:val="18"/>
              <w:szCs w:val="18"/>
            </w:rPr>
          </w:pPr>
          <w:r>
            <w:rPr>
              <w:rFonts w:eastAsia="Verdana" w:cs="Verdana" w:ascii="Verdana" w:hAnsi="Verdana"/>
              <w:color w:val="000000"/>
              <w:sz w:val="18"/>
              <w:szCs w:val="18"/>
            </w:rPr>
          </w:r>
        </w:p>
        <w:p>
          <w:pPr>
            <w:pStyle w:val="Normal1"/>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 xml:space="preserve">ESTADO DO ESPÍRITO SANTO </w:t>
          </w:r>
        </w:p>
        <w:p>
          <w:pPr>
            <w:pStyle w:val="Normal1"/>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PODER JUDICIÁRIO</w:t>
          </w:r>
        </w:p>
        <w:p>
          <w:pPr>
            <w:pStyle w:val="Normal1"/>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SECRETARIA DE INFRAESTRUTURA</w:t>
          </w:r>
        </w:p>
        <w:p>
          <w:pPr>
            <w:pStyle w:val="Normal1"/>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COORDENADORIA DE COMPRAS, LICITAÇÃO E CONTRATOS</w:t>
          </w:r>
        </w:p>
        <w:p>
          <w:pPr>
            <w:pStyle w:val="Normal1"/>
            <w:widowControl w:val="false"/>
            <w:pBdr/>
            <w:rPr>
              <w:rFonts w:ascii="Verdana" w:hAnsi="Verdana" w:eastAsia="Verdana" w:cs="Verdana"/>
              <w:b/>
              <w:b/>
              <w:color w:val="000000"/>
              <w:sz w:val="18"/>
              <w:szCs w:val="18"/>
            </w:rPr>
          </w:pPr>
          <w:r>
            <w:rPr>
              <w:rFonts w:eastAsia="Verdana" w:cs="Verdana" w:ascii="Verdana" w:hAnsi="Verdana"/>
              <w:b/>
              <w:color w:val="000000"/>
              <w:sz w:val="18"/>
              <w:szCs w:val="18"/>
            </w:rPr>
            <w:t>SEÇÃO DE CONTRATAÇÃO</w:t>
          </w:r>
        </w:p>
      </w:tc>
    </w:tr>
  </w:tbl>
  <w:p>
    <w:pPr>
      <w:pStyle w:val="Normal1"/>
      <w:pBdr/>
      <w:tabs>
        <w:tab w:val="clear" w:pos="720"/>
        <w:tab w:val="center" w:pos="4680" w:leader="none"/>
        <w:tab w:val="right" w:pos="9360" w:leader="none"/>
      </w:tabs>
      <w:jc w:val="center"/>
      <w:rPr>
        <w:color w:val="000000"/>
        <w:sz w:val="24"/>
        <w:szCs w:val="24"/>
      </w:rPr>
    </w:pPr>
    <w:r>
      <w:rPr>
        <w:color w:val="000000"/>
        <w:sz w:val="24"/>
        <w:szCs w:val="2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
    <w:lvl w:ilvl="0">
      <w:numFmt w:val="lowerLetter"/>
      <w:lvlText w:val="%1."/>
      <w:lvlJc w:val="lef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4">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7">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9">
    <w:lvl w:ilvl="0">
      <w:numFmt w:val="lowerRoman"/>
      <w:lvlText w:val="%1."/>
      <w:lvlJc w:val="righ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0">
    <w:lvl w:ilvl="0">
      <w:numFmt w:val="lowerLetter"/>
      <w:lvlText w:val="%1."/>
      <w:lvlJc w:val="left"/>
      <w:pPr>
        <w:tabs>
          <w:tab w:val="num" w:pos="0"/>
        </w:tabs>
        <w:ind w:left="0" w:hanging="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1">
    <w:lvl w:ilvl="0">
      <w:start w:val="1"/>
      <w:numFmt w:val="decimal"/>
      <w:lvlText w:val="%1."/>
      <w:lvlJc w:val="left"/>
      <w:pPr>
        <w:tabs>
          <w:tab w:val="num" w:pos="0"/>
        </w:tabs>
        <w:ind w:left="720" w:hanging="360"/>
      </w:pPr>
    </w:lvl>
    <w:lvl w:ilvl="1">
      <w:start w:val="0"/>
      <w:numFmt w:val="lowerRoman"/>
      <w:lvlText w:val="%2."/>
      <w:lvlJc w:val="right"/>
      <w:pPr>
        <w:tabs>
          <w:tab w:val="num" w:pos="0"/>
        </w:tabs>
        <w:ind w:left="0" w:hanging="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2">
    <w:lvl w:ilvl="0">
      <w:start w:val="1"/>
      <w:numFmt w:val="decimal"/>
      <w:lvlText w:val="%1."/>
      <w:lvlJc w:val="left"/>
      <w:pPr>
        <w:tabs>
          <w:tab w:val="num" w:pos="0"/>
        </w:tabs>
        <w:ind w:left="720" w:hanging="360"/>
      </w:pPr>
    </w:lvl>
    <w:lvl w:ilvl="1">
      <w:start w:val="0"/>
      <w:numFmt w:val="lowerRoman"/>
      <w:lvlText w:val="%2."/>
      <w:lvlJc w:val="right"/>
      <w:pPr>
        <w:tabs>
          <w:tab w:val="num" w:pos="0"/>
        </w:tabs>
        <w:ind w:left="0" w:hanging="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3">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1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10"/>
  <w:defaultTabStop w:val="720"/>
  <w:autoHyphenation w:val="true"/>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Unicode MS"/>
        <w:lang w:val="pt-BR"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Unicode MS"/>
      <w:color w:val="auto"/>
      <w:kern w:val="0"/>
      <w:sz w:val="20"/>
      <w:szCs w:val="20"/>
      <w:lang w:val="pt-BR" w:eastAsia="zh-CN" w:bidi="hi-IN"/>
    </w:rPr>
  </w:style>
  <w:style w:type="paragraph" w:styleId="Ttulo1">
    <w:name w:val="Heading 1"/>
    <w:basedOn w:val="Normal1"/>
    <w:next w:val="Normal1"/>
    <w:qFormat/>
    <w:pPr>
      <w:tabs>
        <w:tab w:val="clear" w:pos="720"/>
        <w:tab w:val="left" w:pos="360" w:leader="none"/>
        <w:tab w:val="left" w:pos="432" w:leader="none"/>
      </w:tabs>
      <w:spacing w:lineRule="auto" w:line="240" w:before="280" w:after="140"/>
    </w:pPr>
    <w:rPr>
      <w:rFonts w:ascii="Arial Black" w:hAnsi="Arial Black" w:eastAsia="Arial Black" w:cs="Arial Black"/>
      <w:color w:val="000000"/>
      <w:sz w:val="28"/>
      <w:szCs w:val="28"/>
    </w:rPr>
  </w:style>
  <w:style w:type="paragraph" w:styleId="Ttulo2">
    <w:name w:val="Heading 2"/>
    <w:basedOn w:val="Normal1"/>
    <w:next w:val="Normal1"/>
    <w:qFormat/>
    <w:pPr>
      <w:tabs>
        <w:tab w:val="clear" w:pos="720"/>
        <w:tab w:val="left" w:pos="360" w:leader="none"/>
        <w:tab w:val="left" w:pos="576" w:leader="none"/>
      </w:tabs>
      <w:spacing w:lineRule="auto" w:line="240" w:before="120" w:after="120"/>
    </w:pPr>
    <w:rPr>
      <w:rFonts w:ascii="Arial" w:hAnsi="Arial" w:eastAsia="Arial" w:cs="Arial"/>
      <w:b/>
      <w:color w:val="000000"/>
      <w:sz w:val="24"/>
      <w:szCs w:val="24"/>
    </w:rPr>
  </w:style>
  <w:style w:type="paragraph" w:styleId="Ttulo3">
    <w:name w:val="Heading 3"/>
    <w:basedOn w:val="Normal1"/>
    <w:next w:val="Normal1"/>
    <w:qFormat/>
    <w:pPr>
      <w:tabs>
        <w:tab w:val="left" w:pos="360" w:leader="none"/>
        <w:tab w:val="left" w:pos="720" w:leader="none"/>
      </w:tabs>
      <w:spacing w:lineRule="auto" w:line="240" w:before="120" w:after="120"/>
    </w:pPr>
    <w:rPr>
      <w:b/>
      <w:color w:val="000000"/>
      <w:sz w:val="24"/>
      <w:szCs w:val="24"/>
    </w:rPr>
  </w:style>
  <w:style w:type="paragraph" w:styleId="Ttulo4">
    <w:name w:val="Heading 4"/>
    <w:basedOn w:val="Normal1"/>
    <w:next w:val="Normal1"/>
    <w:qFormat/>
    <w:pPr>
      <w:keepNext w:val="true"/>
      <w:keepLines/>
      <w:spacing w:lineRule="auto" w:line="240" w:before="240" w:after="40"/>
    </w:pPr>
    <w:rPr>
      <w:b/>
      <w:sz w:val="24"/>
      <w:szCs w:val="24"/>
    </w:rPr>
  </w:style>
  <w:style w:type="paragraph" w:styleId="Ttulo5">
    <w:name w:val="Heading 5"/>
    <w:basedOn w:val="Normal1"/>
    <w:next w:val="Normal1"/>
    <w:qFormat/>
    <w:pPr>
      <w:keepNext w:val="true"/>
      <w:keepLines/>
      <w:spacing w:lineRule="auto" w:line="240" w:before="220" w:after="40"/>
    </w:pPr>
    <w:rPr>
      <w:b/>
      <w:sz w:val="22"/>
      <w:szCs w:val="22"/>
    </w:rPr>
  </w:style>
  <w:style w:type="paragraph" w:styleId="Ttulo6">
    <w:name w:val="Heading 6"/>
    <w:basedOn w:val="Normal1"/>
    <w:next w:val="Normal1"/>
    <w:qFormat/>
    <w:pPr>
      <w:keepNext w:val="true"/>
      <w:keepLines/>
      <w:spacing w:lineRule="auto" w:line="240" w:before="200" w:after="40"/>
    </w:pPr>
    <w:rPr>
      <w:b/>
    </w:rPr>
  </w:style>
  <w:style w:type="character" w:styleId="LinkdaInternet">
    <w:name w:val="Link da Internet"/>
    <w:rPr>
      <w:color w:val="000080"/>
      <w:u w:val="single"/>
      <w:lang w:val="zxx" w:eastAsia="zxx" w:bidi="zxx"/>
    </w:rPr>
  </w:style>
  <w:style w:type="character" w:styleId="Caracteresdenotaderodap">
    <w:name w:val="Caracteres de nota de rodapé"/>
    <w:qFormat/>
    <w:rPr/>
  </w:style>
  <w:style w:type="character" w:styleId="Ncoradanotaderodap">
    <w:name w:val="Âncora da nota de rodapé"/>
    <w:rPr>
      <w:vertAlign w:val="superscript"/>
    </w:rPr>
  </w:style>
  <w:style w:type="character" w:styleId="Ncoradanotadefim">
    <w:name w:val="Âncora da nota de fim"/>
    <w:rPr>
      <w:vertAlign w:val="superscript"/>
    </w:rPr>
  </w:style>
  <w:style w:type="character" w:styleId="Caracteresdenotadefim">
    <w:name w:val="Caracteres de nota de fim"/>
    <w:qFormat/>
    <w:rPr/>
  </w:style>
  <w:style w:type="paragraph" w:styleId="Ttulo">
    <w:name w:val="Título"/>
    <w:basedOn w:val="Normal"/>
    <w:next w:val="Corpodotexto"/>
    <w:qFormat/>
    <w:pPr>
      <w:keepNext w:val="true"/>
      <w:spacing w:before="240" w:after="120"/>
    </w:pPr>
    <w:rPr>
      <w:rFonts w:ascii="Liberation Sans" w:hAnsi="Liberation Sans" w:eastAsia="Microsoft YaHei" w:cs="Arial Unicode M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Normal1" w:default="1">
    <w:name w:val="LO-normal"/>
    <w:qFormat/>
    <w:pPr>
      <w:widowControl/>
      <w:bidi w:val="0"/>
      <w:spacing w:before="0" w:after="0"/>
      <w:jc w:val="left"/>
    </w:pPr>
    <w:rPr>
      <w:rFonts w:ascii="Times New Roman" w:hAnsi="Times New Roman" w:eastAsia="NSimSun" w:cs="Arial Unicode MS"/>
      <w:color w:val="auto"/>
      <w:kern w:val="0"/>
      <w:sz w:val="20"/>
      <w:szCs w:val="20"/>
      <w:lang w:val="pt-BR" w:eastAsia="zh-CN" w:bidi="hi-IN"/>
    </w:rPr>
  </w:style>
  <w:style w:type="paragraph" w:styleId="Ttulododocumento">
    <w:name w:val="Title"/>
    <w:basedOn w:val="Normal1"/>
    <w:next w:val="Normal1"/>
    <w:qFormat/>
    <w:pPr>
      <w:keepNext w:val="true"/>
      <w:spacing w:lineRule="auto" w:line="240" w:before="0" w:after="960"/>
      <w:jc w:val="center"/>
    </w:pPr>
    <w:rPr>
      <w:rFonts w:ascii="Arial Black" w:hAnsi="Arial Black" w:eastAsia="Arial Black" w:cs="Arial Black"/>
      <w:color w:val="000000"/>
      <w:sz w:val="48"/>
      <w:szCs w:val="48"/>
    </w:rPr>
  </w:style>
  <w:style w:type="paragraph" w:styleId="Subttulo">
    <w:name w:val="Subtitle"/>
    <w:basedOn w:val="Normal1"/>
    <w:next w:val="Normal1"/>
    <w:qFormat/>
    <w:pPr>
      <w:keepNext w:val="true"/>
      <w:spacing w:lineRule="auto" w:line="240" w:before="240" w:after="120"/>
      <w:jc w:val="center"/>
    </w:pPr>
    <w:rPr>
      <w:rFonts w:ascii="MS Mincho" w:hAnsi="MS Mincho" w:eastAsia="MS Mincho" w:cs="MS Mincho"/>
      <w:i/>
      <w:color w:val="000000"/>
      <w:sz w:val="28"/>
      <w:szCs w:val="28"/>
    </w:rPr>
  </w:style>
  <w:style w:type="paragraph" w:styleId="Notaderodap">
    <w:name w:val="Footnote Text"/>
    <w:basedOn w:val="Normal"/>
    <w:pPr/>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ntratacao@tjes.jus.br" TargetMode="External"/><Relationship Id="rId3" Type="http://schemas.openxmlformats.org/officeDocument/2006/relationships/hyperlink" Target="mailto:contratacao@tjes.jus.br" TargetMode="External"/><Relationship Id="rId4" Type="http://schemas.openxmlformats.org/officeDocument/2006/relationships/hyperlink" Target="http://aplicativos.tjes.jus.br/sistemaspublicos/consulta_licitacao/consulta.cfm" TargetMode="External"/><Relationship Id="rId5" Type="http://schemas.openxmlformats.org/officeDocument/2006/relationships/hyperlink" Target="about:blank"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mailto:contratacao@tjes.jus.br" TargetMode="External"/><Relationship Id="rId13" Type="http://schemas.openxmlformats.org/officeDocument/2006/relationships/hyperlink" Target="http://comprasnet.gov.br/livre/pregao/ata0.asp"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4iZhm8Q1JPa1lSNKB8c6eCvLQlg==">CgMxLjAaJgoBMBIhCh8IB0IbCgdWZXJkYW5hEhBBcmlhbCBVbmljb2RlIE1TGiYKATESIQofCAdCGwoHVmVyZGFuYRIQQXJpYWwgVW5pY29kZSBNUzIIaC5namRneHMyCWguMzBqMHpsbDIJaC4xZm9iOXRlMg5oLmp5dXA1ZWNobGsweDgAciExSHNNWVB2ZlpzVHJXQ29BMXFuU2F3SmM3MjBaMnhneWo=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4</TotalTime>
  <Application>LibreOffice/7.1.6.2$Windows_X86_64 LibreOffice_project/0e133318fcee89abacd6a7d077e292f1145735c3</Application>
  <AppVersion>15.0000</AppVersion>
  <Pages>30</Pages>
  <Words>13667</Words>
  <Characters>75758</Characters>
  <CharactersWithSpaces>89112</CharactersWithSpaces>
  <Paragraphs>539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2024-09-09T15:33:05Z</dcterms:modified>
  <cp:revision>1</cp:revision>
  <dc:subject/>
  <dc:title/>
</cp:coreProperties>
</file>